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0"/>
          <w:strike w:val="0"/>
          <w:color w:val="000000"/>
          <w:sz w:val="17"/>
          <w:szCs w:val="17"/>
          <w:u w:val="none"/>
          <w:shd w:fill="auto" w:val="clear"/>
          <w:vertAlign w:val="baseline"/>
          <w:rtl w:val="0"/>
        </w:rPr>
        <w:t xml:space="preserve">Foro Regional Eléctrico de la Provincia de Buenos Aires</w:t>
      </w:r>
    </w:p>
    <w:p w:rsidR="00000000" w:rsidDel="00000000" w:rsidP="00000000" w:rsidRDefault="00000000" w:rsidRPr="00000000" w14:paraId="00000002">
      <w:pPr>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C.U.I.T. N° 30-70773436-8</w:t>
      </w:r>
    </w:p>
    <w:p w:rsidR="00000000" w:rsidDel="00000000" w:rsidP="00000000" w:rsidRDefault="00000000" w:rsidRPr="00000000" w14:paraId="00000003">
      <w:pPr>
        <w:rPr>
          <w:rFonts w:ascii="Verdana" w:cs="Verdana" w:eastAsia="Verdana" w:hAnsi="Verdana"/>
          <w:b w:val="0"/>
          <w:sz w:val="17"/>
          <w:szCs w:val="17"/>
          <w:vertAlign w:val="baseline"/>
        </w:rPr>
      </w:pPr>
      <w:r w:rsidDel="00000000" w:rsidR="00000000" w:rsidRPr="00000000">
        <w:rPr>
          <w:rtl w:val="0"/>
        </w:rPr>
      </w:r>
    </w:p>
    <w:p w:rsidR="00000000" w:rsidDel="00000000" w:rsidP="00000000" w:rsidRDefault="00000000" w:rsidRPr="00000000" w14:paraId="00000004">
      <w:pPr>
        <w:rPr>
          <w:rFonts w:ascii="Verdana" w:cs="Verdana" w:eastAsia="Verdana" w:hAnsi="Verdana"/>
          <w:b w:val="0"/>
          <w:sz w:val="17"/>
          <w:szCs w:val="17"/>
          <w:vertAlign w:val="baseline"/>
        </w:rPr>
      </w:pPr>
      <w:r w:rsidDel="00000000" w:rsidR="00000000" w:rsidRPr="00000000">
        <w:rPr>
          <w:rtl w:val="0"/>
        </w:rPr>
      </w:r>
    </w:p>
    <w:p w:rsidR="00000000" w:rsidDel="00000000" w:rsidP="00000000" w:rsidRDefault="00000000" w:rsidRPr="00000000" w14:paraId="00000005">
      <w:pPr>
        <w:rPr>
          <w:rFonts w:ascii="Verdana" w:cs="Verdana" w:eastAsia="Verdana" w:hAnsi="Verdana"/>
          <w:b w:val="0"/>
          <w:sz w:val="17"/>
          <w:szCs w:val="17"/>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Domicilio legal:Diagonal 80 N° 1001– La Plata – Provincia de Buenos Aires</w:t>
      </w:r>
    </w:p>
    <w:p w:rsidR="00000000" w:rsidDel="00000000" w:rsidP="00000000" w:rsidRDefault="00000000" w:rsidRPr="00000000" w14:paraId="00000007">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08">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09">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0A">
      <w:pPr>
        <w:ind w:left="1980" w:hanging="1980"/>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Actividad principal: Brindar a sus miembros Asociados y Adherentes asesoramiento técnico, económico, legal y regulatorio para inversiones en proyectos de transmisión, sub transmisión de energía eléctrica y/osus alternativas complementarias en el ámbito de la Provincia de Buenos Aires.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D">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0E">
      <w:pP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ab/>
      </w:r>
    </w:p>
    <w:p w:rsidR="00000000" w:rsidDel="00000000" w:rsidP="00000000" w:rsidRDefault="00000000" w:rsidRPr="00000000" w14:paraId="0000000F">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10">
      <w:pPr>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Ejercicio económico Nro. 17 iniciado el 1ro. de enero de 2017</w:t>
      </w:r>
    </w:p>
    <w:p w:rsidR="00000000" w:rsidDel="00000000" w:rsidP="00000000" w:rsidRDefault="00000000" w:rsidRPr="00000000" w14:paraId="00000011">
      <w:pPr>
        <w:jc w:val="cente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12">
      <w:pPr>
        <w:jc w:val="cente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13">
      <w:pPr>
        <w:jc w:val="cente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14">
      <w:pPr>
        <w:jc w:val="center"/>
        <w:rPr>
          <w:rFonts w:ascii="Verdana" w:cs="Verdana" w:eastAsia="Verdana" w:hAnsi="Verdana"/>
          <w:b w:val="0"/>
          <w:sz w:val="17"/>
          <w:szCs w:val="17"/>
          <w:u w:val="single"/>
          <w:vertAlign w:val="baseline"/>
        </w:rPr>
      </w:pPr>
      <w:r w:rsidDel="00000000" w:rsidR="00000000" w:rsidRPr="00000000">
        <w:rPr>
          <w:rFonts w:ascii="Verdana" w:cs="Verdana" w:eastAsia="Verdana" w:hAnsi="Verdana"/>
          <w:b w:val="1"/>
          <w:sz w:val="17"/>
          <w:szCs w:val="17"/>
          <w:u w:val="single"/>
          <w:vertAlign w:val="baseline"/>
          <w:rtl w:val="0"/>
        </w:rPr>
        <w:t xml:space="preserve">ESTADOS CONTABLES AL 31 DE DICIEMBRE DE 2017</w:t>
      </w:r>
      <w:r w:rsidDel="00000000" w:rsidR="00000000" w:rsidRPr="00000000">
        <w:rPr>
          <w:rtl w:val="0"/>
        </w:rPr>
      </w:r>
    </w:p>
    <w:p w:rsidR="00000000" w:rsidDel="00000000" w:rsidP="00000000" w:rsidRDefault="00000000" w:rsidRPr="00000000" w14:paraId="00000015">
      <w:pPr>
        <w:jc w:val="center"/>
        <w:rPr>
          <w:rFonts w:ascii="Verdana" w:cs="Verdana" w:eastAsia="Verdana" w:hAnsi="Verdana"/>
          <w:b w:val="0"/>
          <w:sz w:val="17"/>
          <w:szCs w:val="17"/>
          <w:u w:val="single"/>
          <w:vertAlign w:val="baseline"/>
        </w:rPr>
      </w:pPr>
      <w:r w:rsidDel="00000000" w:rsidR="00000000" w:rsidRPr="00000000">
        <w:rPr>
          <w:rFonts w:ascii="Verdana" w:cs="Verdana" w:eastAsia="Verdana" w:hAnsi="Verdana"/>
          <w:b w:val="1"/>
          <w:sz w:val="17"/>
          <w:szCs w:val="17"/>
          <w:u w:val="single"/>
          <w:vertAlign w:val="baseline"/>
          <w:rtl w:val="0"/>
        </w:rPr>
        <w:t xml:space="preserve">(Presentados en forma comparativa con el ejercicio económico</w:t>
      </w:r>
      <w:r w:rsidDel="00000000" w:rsidR="00000000" w:rsidRPr="00000000">
        <w:rPr>
          <w:rtl w:val="0"/>
        </w:rPr>
      </w:r>
    </w:p>
    <w:p w:rsidR="00000000" w:rsidDel="00000000" w:rsidP="00000000" w:rsidRDefault="00000000" w:rsidRPr="00000000" w14:paraId="00000016">
      <w:pPr>
        <w:jc w:val="center"/>
        <w:rPr>
          <w:rFonts w:ascii="Verdana" w:cs="Verdana" w:eastAsia="Verdana" w:hAnsi="Verdana"/>
          <w:b w:val="0"/>
          <w:sz w:val="17"/>
          <w:szCs w:val="17"/>
          <w:u w:val="single"/>
          <w:vertAlign w:val="baseline"/>
        </w:rPr>
      </w:pPr>
      <w:r w:rsidDel="00000000" w:rsidR="00000000" w:rsidRPr="00000000">
        <w:rPr>
          <w:rFonts w:ascii="Verdana" w:cs="Verdana" w:eastAsia="Verdana" w:hAnsi="Verdana"/>
          <w:b w:val="1"/>
          <w:sz w:val="17"/>
          <w:szCs w:val="17"/>
          <w:u w:val="single"/>
          <w:vertAlign w:val="baseline"/>
          <w:rtl w:val="0"/>
        </w:rPr>
        <w:t xml:space="preserve">terminado el 31 de diciembre de 2016)</w:t>
      </w:r>
      <w:r w:rsidDel="00000000" w:rsidR="00000000" w:rsidRPr="00000000">
        <w:rPr>
          <w:rtl w:val="0"/>
        </w:rPr>
      </w:r>
    </w:p>
    <w:p w:rsidR="00000000" w:rsidDel="00000000" w:rsidP="00000000" w:rsidRDefault="00000000" w:rsidRPr="00000000" w14:paraId="00000017">
      <w:pPr>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(expresados en pesos)</w:t>
      </w:r>
    </w:p>
    <w:p w:rsidR="00000000" w:rsidDel="00000000" w:rsidP="00000000" w:rsidRDefault="00000000" w:rsidRPr="00000000" w14:paraId="00000018">
      <w:pPr>
        <w:jc w:val="center"/>
        <w:rPr>
          <w:rFonts w:ascii="Verdana" w:cs="Verdana" w:eastAsia="Verdana" w:hAnsi="Verdana"/>
          <w:b w:val="0"/>
          <w:sz w:val="17"/>
          <w:szCs w:val="17"/>
          <w:vertAlign w:val="baseline"/>
        </w:rPr>
      </w:pPr>
      <w:r w:rsidDel="00000000" w:rsidR="00000000" w:rsidRPr="00000000">
        <w:rPr>
          <w:rtl w:val="0"/>
        </w:rPr>
      </w:r>
    </w:p>
    <w:p w:rsidR="00000000" w:rsidDel="00000000" w:rsidP="00000000" w:rsidRDefault="00000000" w:rsidRPr="00000000" w14:paraId="00000019">
      <w:pPr>
        <w:jc w:val="center"/>
        <w:rPr>
          <w:rFonts w:ascii="Verdana" w:cs="Verdana" w:eastAsia="Verdana" w:hAnsi="Verdana"/>
          <w:b w:val="0"/>
          <w:sz w:val="17"/>
          <w:szCs w:val="17"/>
          <w:vertAlign w:val="baseline"/>
        </w:rPr>
      </w:pPr>
      <w:r w:rsidDel="00000000" w:rsidR="00000000" w:rsidRPr="00000000">
        <w:rPr>
          <w:rtl w:val="0"/>
        </w:rPr>
      </w:r>
    </w:p>
    <w:p w:rsidR="00000000" w:rsidDel="00000000" w:rsidP="00000000" w:rsidRDefault="00000000" w:rsidRPr="00000000" w14:paraId="0000001A">
      <w:pPr>
        <w:jc w:val="center"/>
        <w:rPr>
          <w:rFonts w:ascii="Verdana" w:cs="Verdana" w:eastAsia="Verdana" w:hAnsi="Verdana"/>
          <w:b w:val="0"/>
          <w:sz w:val="17"/>
          <w:szCs w:val="17"/>
          <w:vertAlign w:val="baseline"/>
        </w:rPr>
      </w:pPr>
      <w:r w:rsidDel="00000000" w:rsidR="00000000" w:rsidRPr="00000000">
        <w:rPr>
          <w:rtl w:val="0"/>
        </w:rPr>
      </w:r>
    </w:p>
    <w:p w:rsidR="00000000" w:rsidDel="00000000" w:rsidP="00000000" w:rsidRDefault="00000000" w:rsidRPr="00000000" w14:paraId="0000001B">
      <w:pP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INSCRIPCIÓN EN LA DIRECCIÓN PROVINCIAL DE PERSONAS JURÍDICAS (D.P.P.J.) DE LA PROVINCIA DE BUENOS AIRES:</w:t>
      </w:r>
    </w:p>
    <w:p w:rsidR="00000000" w:rsidDel="00000000" w:rsidP="00000000" w:rsidRDefault="00000000" w:rsidRPr="00000000" w14:paraId="0000001C">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1D">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1E">
      <w:pP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Fecha: 24 de abril de 2001</w:t>
      </w:r>
    </w:p>
    <w:p w:rsidR="00000000" w:rsidDel="00000000" w:rsidP="00000000" w:rsidRDefault="00000000" w:rsidRPr="00000000" w14:paraId="0000001F">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20">
      <w:pP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Matrícula: 22.397</w:t>
      </w:r>
    </w:p>
    <w:p w:rsidR="00000000" w:rsidDel="00000000" w:rsidP="00000000" w:rsidRDefault="00000000" w:rsidRPr="00000000" w14:paraId="00000021">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22">
      <w:pP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Legajo: 105.623</w:t>
      </w:r>
    </w:p>
    <w:p w:rsidR="00000000" w:rsidDel="00000000" w:rsidP="00000000" w:rsidRDefault="00000000" w:rsidRPr="00000000" w14:paraId="00000023">
      <w:pPr>
        <w:jc w:val="cente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24">
      <w:pPr>
        <w:rPr>
          <w:rFonts w:ascii="Verdana" w:cs="Verdana" w:eastAsia="Verdana" w:hAnsi="Verdana"/>
          <w:sz w:val="17"/>
          <w:szCs w:val="17"/>
          <w:vertAlign w:val="baseline"/>
        </w:rPr>
        <w:sectPr>
          <w:headerReference r:id="rId6" w:type="default"/>
          <w:footerReference r:id="rId7" w:type="default"/>
          <w:footerReference r:id="rId8" w:type="even"/>
          <w:pgSz w:h="16840" w:w="11907"/>
          <w:pgMar w:bottom="567" w:top="1701" w:left="1701" w:right="1701" w:header="720" w:footer="397"/>
          <w:pgNumType w:start="1"/>
          <w:cols w:equalWidth="0"/>
        </w:sectPr>
      </w:pPr>
      <w:r w:rsidDel="00000000" w:rsidR="00000000" w:rsidRPr="00000000">
        <w:rPr>
          <w:rtl w:val="0"/>
        </w:rPr>
      </w:r>
    </w:p>
    <w:p w:rsidR="00000000" w:rsidDel="00000000" w:rsidP="00000000" w:rsidRDefault="00000000" w:rsidRPr="00000000" w14:paraId="00000025">
      <w:pPr>
        <w:pBdr>
          <w:top w:color="000000" w:space="1" w:sz="6" w:val="single"/>
          <w:left w:color="000000" w:space="1" w:sz="6" w:val="single"/>
          <w:bottom w:color="000000" w:space="3" w:sz="6" w:val="single"/>
          <w:right w:color="000000" w:space="1" w:sz="6" w:val="single"/>
        </w:pBdr>
        <w:jc w:val="center"/>
        <w:rPr>
          <w:rFonts w:ascii="Verdana" w:cs="Verdana" w:eastAsia="Verdana" w:hAnsi="Verdana"/>
          <w:sz w:val="17"/>
          <w:szCs w:val="17"/>
          <w:vertAlign w:val="baseline"/>
        </w:rPr>
      </w:pPr>
      <w:r w:rsidDel="00000000" w:rsidR="00000000" w:rsidRPr="00000000">
        <w:rPr>
          <w:rFonts w:ascii="Verdana" w:cs="Verdana" w:eastAsia="Verdana" w:hAnsi="Verdana"/>
          <w:b w:val="1"/>
          <w:sz w:val="17"/>
          <w:szCs w:val="17"/>
          <w:vertAlign w:val="baseline"/>
          <w:rtl w:val="0"/>
        </w:rPr>
        <w:t xml:space="preserve">FORO REGIONAL ELÉCTRICO DE LA PROVINCIA DE BUENOS AIRES</w:t>
      </w:r>
      <w:r w:rsidDel="00000000" w:rsidR="00000000" w:rsidRPr="00000000">
        <w:rPr>
          <w:rtl w:val="0"/>
        </w:rPr>
      </w:r>
    </w:p>
    <w:p w:rsidR="00000000" w:rsidDel="00000000" w:rsidP="00000000" w:rsidRDefault="00000000" w:rsidRPr="00000000" w14:paraId="00000026">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27">
      <w:pPr>
        <w:jc w:val="center"/>
        <w:rPr>
          <w:rFonts w:ascii="Verdana" w:cs="Verdana" w:eastAsia="Verdana" w:hAnsi="Verdana"/>
          <w:b w:val="0"/>
          <w:sz w:val="17"/>
          <w:szCs w:val="17"/>
          <w:u w:val="single"/>
          <w:vertAlign w:val="baseline"/>
        </w:rPr>
      </w:pPr>
      <w:r w:rsidDel="00000000" w:rsidR="00000000" w:rsidRPr="00000000">
        <w:rPr>
          <w:rFonts w:ascii="Verdana" w:cs="Verdana" w:eastAsia="Verdana" w:hAnsi="Verdana"/>
          <w:b w:val="1"/>
          <w:sz w:val="17"/>
          <w:szCs w:val="17"/>
          <w:u w:val="single"/>
          <w:vertAlign w:val="baseline"/>
          <w:rtl w:val="0"/>
        </w:rPr>
        <w:t xml:space="preserve">NOTAS A LOS ESTADOS CONTABLES CORRESPONDIENTES </w:t>
      </w:r>
      <w:r w:rsidDel="00000000" w:rsidR="00000000" w:rsidRPr="00000000">
        <w:rPr>
          <w:rtl w:val="0"/>
        </w:rPr>
      </w:r>
    </w:p>
    <w:p w:rsidR="00000000" w:rsidDel="00000000" w:rsidP="00000000" w:rsidRDefault="00000000" w:rsidRPr="00000000" w14:paraId="00000028">
      <w:pPr>
        <w:jc w:val="center"/>
        <w:rPr>
          <w:rFonts w:ascii="Verdana" w:cs="Verdana" w:eastAsia="Verdana" w:hAnsi="Verdana"/>
          <w:b w:val="0"/>
          <w:sz w:val="17"/>
          <w:szCs w:val="17"/>
          <w:u w:val="single"/>
          <w:vertAlign w:val="baseline"/>
        </w:rPr>
      </w:pPr>
      <w:r w:rsidDel="00000000" w:rsidR="00000000" w:rsidRPr="00000000">
        <w:rPr>
          <w:rFonts w:ascii="Verdana" w:cs="Verdana" w:eastAsia="Verdana" w:hAnsi="Verdana"/>
          <w:b w:val="1"/>
          <w:sz w:val="17"/>
          <w:szCs w:val="17"/>
          <w:u w:val="single"/>
          <w:vertAlign w:val="baseline"/>
          <w:rtl w:val="0"/>
        </w:rPr>
        <w:t xml:space="preserve">AL EJERCICIO FINALIZADO EL 31 DE DICIEMBRE DE 2017</w:t>
      </w:r>
      <w:r w:rsidDel="00000000" w:rsidR="00000000" w:rsidRPr="00000000">
        <w:rPr>
          <w:rtl w:val="0"/>
        </w:rPr>
      </w:r>
    </w:p>
    <w:p w:rsidR="00000000" w:rsidDel="00000000" w:rsidP="00000000" w:rsidRDefault="00000000" w:rsidRPr="00000000" w14:paraId="00000029">
      <w:pPr>
        <w:jc w:val="cente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(PRESENTADAS EN FORMA COMPARATIVA CON LAS NOTAS</w:t>
      </w:r>
      <w:r w:rsidDel="00000000" w:rsidR="00000000" w:rsidRPr="00000000">
        <w:rPr>
          <w:rtl w:val="0"/>
        </w:rPr>
      </w:r>
    </w:p>
    <w:p w:rsidR="00000000" w:rsidDel="00000000" w:rsidP="00000000" w:rsidRDefault="00000000" w:rsidRPr="00000000" w14:paraId="0000002A">
      <w:pPr>
        <w:jc w:val="cente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DEL EJERCICIO TERMINADO EL 31 DE DICIEMBRE DE 2016)</w:t>
      </w:r>
      <w:r w:rsidDel="00000000" w:rsidR="00000000" w:rsidRPr="00000000">
        <w:rPr>
          <w:rtl w:val="0"/>
        </w:rPr>
      </w:r>
    </w:p>
    <w:p w:rsidR="00000000" w:rsidDel="00000000" w:rsidP="00000000" w:rsidRDefault="00000000" w:rsidRPr="00000000" w14:paraId="0000002B">
      <w:pPr>
        <w:jc w:val="cente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(Cifras expresadas en pesos)</w:t>
      </w:r>
      <w:r w:rsidDel="00000000" w:rsidR="00000000" w:rsidRPr="00000000">
        <w:rPr>
          <w:rtl w:val="0"/>
        </w:rPr>
      </w:r>
    </w:p>
    <w:p w:rsidR="00000000" w:rsidDel="00000000" w:rsidP="00000000" w:rsidRDefault="00000000" w:rsidRPr="00000000" w14:paraId="0000002C">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2D">
      <w:pPr>
        <w:tabs>
          <w:tab w:val="left" w:pos="284"/>
        </w:tabs>
        <w:rPr>
          <w:rFonts w:ascii="Verdana" w:cs="Verdana" w:eastAsia="Verdana" w:hAnsi="Verdana"/>
          <w:sz w:val="17"/>
          <w:szCs w:val="17"/>
          <w:vertAlign w:val="baseline"/>
        </w:rPr>
      </w:pPr>
      <w:r w:rsidDel="00000000" w:rsidR="00000000" w:rsidRPr="00000000">
        <w:rPr>
          <w:rFonts w:ascii="Verdana" w:cs="Verdana" w:eastAsia="Verdana" w:hAnsi="Verdana"/>
          <w:b w:val="1"/>
          <w:sz w:val="17"/>
          <w:szCs w:val="17"/>
          <w:vertAlign w:val="baseline"/>
          <w:rtl w:val="0"/>
        </w:rPr>
        <w:t xml:space="preserve">1.</w:t>
        <w:tab/>
        <w:t xml:space="preserve">Constitución de la Entidad y descripción de su actividad</w:t>
      </w:r>
      <w:r w:rsidDel="00000000" w:rsidR="00000000" w:rsidRPr="00000000">
        <w:rPr>
          <w:rtl w:val="0"/>
        </w:rPr>
      </w:r>
    </w:p>
    <w:p w:rsidR="00000000" w:rsidDel="00000000" w:rsidP="00000000" w:rsidRDefault="00000000" w:rsidRPr="00000000" w14:paraId="0000002E">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2F">
      <w:pPr>
        <w:ind w:left="284"/>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El Foro Regional Eléctrico de la Provincia de Buenos Aires (FREBA) es una Asociación Civil sin fines de lucro constituida conforme al documento de Pautas y Condiciones Básicas suscripto por sus asociados fundadores, inscripta en la Dirección Provincial de Personas Jurídicas de la Provincia de Buenos Aires el día 24 de abril de 2001, cuyo objeto es el de brindar a sus miembros asociados y adherentes asesoramiento técnico, económico, legal y regulatorio para inversiones en proyectos de transmisión, sub transmisión de energía eléctrica y/o sus alternativas complementariasen el ámbito de la Provincia de Buenos Aires.</w:t>
      </w:r>
    </w:p>
    <w:p w:rsidR="00000000" w:rsidDel="00000000" w:rsidP="00000000" w:rsidRDefault="00000000" w:rsidRPr="00000000" w14:paraId="00000030">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31">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32">
      <w:pPr>
        <w:tabs>
          <w:tab w:val="left" w:pos="284"/>
        </w:tabs>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2.</w:t>
        <w:tab/>
        <w:t xml:space="preserve">Bases de preparación de los estados contables</w:t>
      </w:r>
      <w:r w:rsidDel="00000000" w:rsidR="00000000" w:rsidRPr="00000000">
        <w:rPr>
          <w:rtl w:val="0"/>
        </w:rPr>
      </w:r>
    </w:p>
    <w:p w:rsidR="00000000" w:rsidDel="00000000" w:rsidP="00000000" w:rsidRDefault="00000000" w:rsidRPr="00000000" w14:paraId="00000033">
      <w:pPr>
        <w:rPr>
          <w:rFonts w:ascii="Verdana" w:cs="Verdana" w:eastAsia="Verdana" w:hAnsi="Verdana"/>
          <w:b w:val="0"/>
          <w:sz w:val="17"/>
          <w:szCs w:val="17"/>
          <w:vertAlign w:val="baseline"/>
        </w:rPr>
      </w:pPr>
      <w:r w:rsidDel="00000000" w:rsidR="00000000" w:rsidRPr="00000000">
        <w:rPr>
          <w:rtl w:val="0"/>
        </w:rPr>
      </w:r>
    </w:p>
    <w:p w:rsidR="00000000" w:rsidDel="00000000" w:rsidP="00000000" w:rsidRDefault="00000000" w:rsidRPr="00000000" w14:paraId="00000034">
      <w:pPr>
        <w:ind w:left="284"/>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Las normas contables utilizadas por el Foro Regional Eléctrico de la Provincia de Buenos Aires para la confección de los estados contables son las siguientes:</w:t>
      </w:r>
    </w:p>
    <w:p w:rsidR="00000000" w:rsidDel="00000000" w:rsidP="00000000" w:rsidRDefault="00000000" w:rsidRPr="00000000" w14:paraId="00000035">
      <w:pPr>
        <w:ind w:left="284"/>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36">
      <w:pPr>
        <w:ind w:left="284"/>
        <w:jc w:val="both"/>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2.1. Modelo de preparación de los estados contables</w:t>
      </w:r>
      <w:r w:rsidDel="00000000" w:rsidR="00000000" w:rsidRPr="00000000">
        <w:rPr>
          <w:rtl w:val="0"/>
        </w:rPr>
      </w:r>
    </w:p>
    <w:p w:rsidR="00000000" w:rsidDel="00000000" w:rsidP="00000000" w:rsidRDefault="00000000" w:rsidRPr="00000000" w14:paraId="00000037">
      <w:pPr>
        <w:ind w:left="284"/>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38">
      <w:pPr>
        <w:ind w:firstLine="284"/>
        <w:jc w:val="both"/>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2.1.1 Normas contables</w:t>
      </w:r>
      <w:r w:rsidDel="00000000" w:rsidR="00000000" w:rsidRPr="00000000">
        <w:rPr>
          <w:rtl w:val="0"/>
        </w:rPr>
      </w:r>
    </w:p>
    <w:p w:rsidR="00000000" w:rsidDel="00000000" w:rsidP="00000000" w:rsidRDefault="00000000" w:rsidRPr="00000000" w14:paraId="00000039">
      <w:pPr>
        <w:ind w:left="270"/>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3A">
      <w:pPr>
        <w:ind w:left="567"/>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Los estados contables han sido preparados y expuestos de conformidad con las Resoluciones Técnicas vigentes emitidas por la Federación Argentina de Consejos Profesionales de Ciencias Económicas (FACPCE) adoptadas por el Consejo Profesional de Ciencias Económicas de la Provincia de Buenos Aires.</w:t>
      </w:r>
    </w:p>
    <w:p w:rsidR="00000000" w:rsidDel="00000000" w:rsidP="00000000" w:rsidRDefault="00000000" w:rsidRPr="00000000" w14:paraId="0000003B">
      <w:pPr>
        <w:jc w:val="both"/>
        <w:rPr>
          <w:rFonts w:ascii="Verdana" w:cs="Verdana" w:eastAsia="Verdana" w:hAnsi="Verdana"/>
          <w:b w:val="0"/>
          <w:sz w:val="17"/>
          <w:szCs w:val="17"/>
          <w:vertAlign w:val="baseline"/>
        </w:rPr>
      </w:pPr>
      <w:r w:rsidDel="00000000" w:rsidR="00000000" w:rsidRPr="00000000">
        <w:rPr>
          <w:rtl w:val="0"/>
        </w:rPr>
      </w:r>
    </w:p>
    <w:p w:rsidR="00000000" w:rsidDel="00000000" w:rsidP="00000000" w:rsidRDefault="00000000" w:rsidRPr="00000000" w14:paraId="0000003C">
      <w:pPr>
        <w:ind w:firstLine="284"/>
        <w:jc w:val="both"/>
        <w:rPr>
          <w:rFonts w:ascii="Verdana" w:cs="Verdana" w:eastAsia="Verdana" w:hAnsi="Verdana"/>
          <w:b w:val="0"/>
          <w:sz w:val="17"/>
          <w:szCs w:val="17"/>
          <w:u w:val="single"/>
          <w:vertAlign w:val="baseline"/>
        </w:rPr>
      </w:pPr>
      <w:r w:rsidDel="00000000" w:rsidR="00000000" w:rsidRPr="00000000">
        <w:rPr>
          <w:rFonts w:ascii="Verdana" w:cs="Verdana" w:eastAsia="Verdana" w:hAnsi="Verdana"/>
          <w:b w:val="1"/>
          <w:sz w:val="17"/>
          <w:szCs w:val="17"/>
          <w:vertAlign w:val="baseline"/>
          <w:rtl w:val="0"/>
        </w:rPr>
        <w:t xml:space="preserve">2.1.2 Consideración de los efectos de la inflación</w:t>
      </w:r>
      <w:r w:rsidDel="00000000" w:rsidR="00000000" w:rsidRPr="00000000">
        <w:rPr>
          <w:rtl w:val="0"/>
        </w:rPr>
      </w:r>
    </w:p>
    <w:p w:rsidR="00000000" w:rsidDel="00000000" w:rsidP="00000000" w:rsidRDefault="00000000" w:rsidRPr="00000000" w14:paraId="0000003D">
      <w:pPr>
        <w:rPr>
          <w:rFonts w:ascii="Verdana" w:cs="Verdana" w:eastAsia="Verdana" w:hAnsi="Verdana"/>
          <w:b w:val="0"/>
          <w:sz w:val="17"/>
          <w:szCs w:val="17"/>
          <w:vertAlign w:val="baseline"/>
        </w:rPr>
      </w:pPr>
      <w:r w:rsidDel="00000000" w:rsidR="00000000" w:rsidRPr="00000000">
        <w:rPr>
          <w:rtl w:val="0"/>
        </w:rPr>
      </w:r>
    </w:p>
    <w:p w:rsidR="00000000" w:rsidDel="00000000" w:rsidP="00000000" w:rsidRDefault="00000000" w:rsidRPr="00000000" w14:paraId="0000003E">
      <w:pPr>
        <w:tabs>
          <w:tab w:val="left" w:pos="1122"/>
        </w:tabs>
        <w:ind w:left="567" w:right="18"/>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Las normas contables profesionales argentinas establecen que los estados contables deben ser preparados reconociendo los cambios en el poder adquisitivo de la moneda conforme a las disposiciones establecidas en las Resoluciones Técnicas (RT) N° 6 y N° 17, con las modificaciones introducidas por la RT N° 39 y por la Interpretación N° 8, normas emitidas por la Federación Argentina de Consejos Profesionales de Ciencias Económicas (FACPCE) y aprobadas por el Consejo Profesional de Ciencias Económicas de la Provincia de Buenos Aires. Estas normas establecen que la aplicación del ajuste por inflación debe realizarse frente a la existencia de un contexto de alta inflación, el cual se caracteriza, entre otras consideraciones, cuando exista una tasa de inflación acumulada en tres años que alcance o sobrepase el 100%, considerando para ello el Índice de Precios Internos al por Mayor (IPIM) publicado por el Instituto Nacional de Estadística y Censos (INDEC).</w:t>
      </w:r>
    </w:p>
    <w:p w:rsidR="00000000" w:rsidDel="00000000" w:rsidP="00000000" w:rsidRDefault="00000000" w:rsidRPr="00000000" w14:paraId="0000003F">
      <w:pPr>
        <w:tabs>
          <w:tab w:val="left" w:pos="1122"/>
        </w:tabs>
        <w:ind w:left="567" w:right="18"/>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40">
      <w:pPr>
        <w:tabs>
          <w:tab w:val="left" w:pos="1122"/>
        </w:tabs>
        <w:ind w:left="567" w:right="18"/>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Los presentes estados contables reconocen los efectos de las variaciones en el poder adquisitivo de la moneda entre el 1° de enero de 2002 y el 28 de febrero de 2003, debido a la existencia de un ambiente económico inflacionario en dicho período, de acuerdo con las normas contables profesionales vigentes, el Decreto N° 664/03 del Poder Ejecutivo Nacional, y las normas y regulaciones de la Inspección General de Justicia.</w:t>
      </w:r>
    </w:p>
    <w:p w:rsidR="00000000" w:rsidDel="00000000" w:rsidP="00000000" w:rsidRDefault="00000000" w:rsidRPr="00000000" w14:paraId="00000041">
      <w:pPr>
        <w:tabs>
          <w:tab w:val="left" w:pos="1122"/>
        </w:tabs>
        <w:ind w:left="567" w:right="18"/>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 </w:t>
      </w:r>
    </w:p>
    <w:p w:rsidR="00000000" w:rsidDel="00000000" w:rsidP="00000000" w:rsidRDefault="00000000" w:rsidRPr="00000000" w14:paraId="00000042">
      <w:pPr>
        <w:tabs>
          <w:tab w:val="left" w:pos="1122"/>
        </w:tabs>
        <w:ind w:left="567" w:right="18"/>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La Norma de Aplicación N° 97, emitida por el Consejo Profesional de Ciencias Económicas de la Provincia de Buenos Aires, establece que, para el cálculo de la inflación acumulada en los últimos tres años, debe tenerse en consideración que los datos para los meses de noviembre y diciembre de 2016 no han sido publicados por el INDEC y que, en consecuencia, no se ha alcanzado la referida pauta cuantitativa del 100% al 31 de diciembre de 2017. Por lo tanto, los presentes estados contables no han sido ajustados por inflación.</w:t>
      </w:r>
    </w:p>
    <w:p w:rsidR="00000000" w:rsidDel="00000000" w:rsidP="00000000" w:rsidRDefault="00000000" w:rsidRPr="00000000" w14:paraId="00000043">
      <w:pPr>
        <w:rPr>
          <w:rFonts w:ascii="Verdana" w:cs="Verdana" w:eastAsia="Verdana" w:hAnsi="Verdana"/>
          <w:sz w:val="17"/>
          <w:szCs w:val="17"/>
          <w:vertAlign w:val="baseline"/>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44">
      <w:pPr>
        <w:tabs>
          <w:tab w:val="left" w:pos="1122"/>
        </w:tabs>
        <w:ind w:left="567" w:right="18"/>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En los últimos años, ciertas variables macroeconómicas que afectan los negocios de la Sociedad, tales como el costo salarial, los precios de las principales materias primas e insumos, las tasas de préstamos y los tipos de cambio, han sufrido variaciones de cierta importancia. Si la reexpresión de los estados contables a moneda homogénea llegara a tornarse aplicable, el ajuste deberá reanudarse tomando como base la última fecha en que la Sociedad ajustó sus estados contables para reflejar los efectos de la inflación, tal como establece la RT N° 6, modificada por la RT N° 39. Ambas circunstancias deben ser tenidas en cuenta por los usuarios de los presentes estados contables.</w:t>
      </w:r>
    </w:p>
    <w:p w:rsidR="00000000" w:rsidDel="00000000" w:rsidP="00000000" w:rsidRDefault="00000000" w:rsidRPr="00000000" w14:paraId="00000045">
      <w:pPr>
        <w:tabs>
          <w:tab w:val="left" w:pos="1122"/>
        </w:tabs>
        <w:ind w:left="567" w:right="18"/>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46">
      <w:pPr>
        <w:tabs>
          <w:tab w:val="left" w:pos="1122"/>
        </w:tabs>
        <w:ind w:left="567" w:right="18"/>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Con fines comparativos, los presentes estados contables incluyen cifras correspondientes al ejercicio finalizado el 31 de diciembre de 2016.</w:t>
      </w:r>
    </w:p>
    <w:p w:rsidR="00000000" w:rsidDel="00000000" w:rsidP="00000000" w:rsidRDefault="00000000" w:rsidRPr="00000000" w14:paraId="00000047">
      <w:pPr>
        <w:rPr>
          <w:rFonts w:ascii="Verdana" w:cs="Verdana" w:eastAsia="Verdana" w:hAnsi="Verdana"/>
          <w:b w:val="0"/>
          <w:sz w:val="17"/>
          <w:szCs w:val="17"/>
          <w:vertAlign w:val="baseline"/>
        </w:rPr>
      </w:pPr>
      <w:r w:rsidDel="00000000" w:rsidR="00000000" w:rsidRPr="00000000">
        <w:rPr>
          <w:rtl w:val="0"/>
        </w:rPr>
      </w:r>
    </w:p>
    <w:p w:rsidR="00000000" w:rsidDel="00000000" w:rsidP="00000000" w:rsidRDefault="00000000" w:rsidRPr="00000000" w14:paraId="00000048">
      <w:pPr>
        <w:tabs>
          <w:tab w:val="left" w:pos="1122"/>
        </w:tabs>
        <w:ind w:right="18"/>
        <w:jc w:val="both"/>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2.2. Criterios de valuación</w:t>
      </w:r>
      <w:r w:rsidDel="00000000" w:rsidR="00000000" w:rsidRPr="00000000">
        <w:rPr>
          <w:rtl w:val="0"/>
        </w:rPr>
      </w:r>
    </w:p>
    <w:p w:rsidR="00000000" w:rsidDel="00000000" w:rsidP="00000000" w:rsidRDefault="00000000" w:rsidRPr="00000000" w14:paraId="00000049">
      <w:pPr>
        <w:ind w:left="284"/>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4A">
      <w:pPr>
        <w:ind w:left="284"/>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a) Activos y pasivos monetarios en moneda nacional</w:t>
      </w:r>
    </w:p>
    <w:p w:rsidR="00000000" w:rsidDel="00000000" w:rsidP="00000000" w:rsidRDefault="00000000" w:rsidRPr="00000000" w14:paraId="0000004B">
      <w:pPr>
        <w:ind w:left="284"/>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4C">
      <w:pPr>
        <w:ind w:left="284"/>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Los activos y pasivos monetarios en moneda nacional (Créditos, Otros Créditos y Deudas) se exponen por su valor nominal.</w:t>
      </w:r>
    </w:p>
    <w:p w:rsidR="00000000" w:rsidDel="00000000" w:rsidP="00000000" w:rsidRDefault="00000000" w:rsidRPr="00000000" w14:paraId="0000004D">
      <w:pPr>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4E">
      <w:pPr>
        <w:ind w:left="284"/>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b) Cuentas del patrimonio neto</w:t>
      </w:r>
    </w:p>
    <w:p w:rsidR="00000000" w:rsidDel="00000000" w:rsidP="00000000" w:rsidRDefault="00000000" w:rsidRPr="00000000" w14:paraId="0000004F">
      <w:pPr>
        <w:ind w:left="284"/>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50">
      <w:pPr>
        <w:ind w:left="284"/>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Se encuentran expresadas en moneda homogénea, según lo explicado en la nota 2.1.2.</w:t>
      </w:r>
    </w:p>
    <w:p w:rsidR="00000000" w:rsidDel="00000000" w:rsidP="00000000" w:rsidRDefault="00000000" w:rsidRPr="00000000" w14:paraId="00000051">
      <w:pPr>
        <w:ind w:left="284"/>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52">
      <w:pPr>
        <w:ind w:left="284"/>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c) Cuentas del estado de resultados</w:t>
      </w:r>
    </w:p>
    <w:p w:rsidR="00000000" w:rsidDel="00000000" w:rsidP="00000000" w:rsidRDefault="00000000" w:rsidRPr="00000000" w14:paraId="00000053">
      <w:pPr>
        <w:ind w:left="284"/>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426"/>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Se encuentran expresadas en moneda histórica.</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426"/>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426"/>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No se han segregado los componentes financieros implícitos de las cuentas de recursos y gastos por haberse estimado que son poco significativos.</w:t>
      </w:r>
    </w:p>
    <w:p w:rsidR="00000000" w:rsidDel="00000000" w:rsidP="00000000" w:rsidRDefault="00000000" w:rsidRPr="00000000" w14:paraId="00000057">
      <w:pPr>
        <w:ind w:left="624"/>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58">
      <w:pPr>
        <w:ind w:left="624"/>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59">
      <w:pPr>
        <w:tabs>
          <w:tab w:val="left" w:pos="284"/>
        </w:tabs>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3. Composición de rubros</w:t>
      </w:r>
      <w:r w:rsidDel="00000000" w:rsidR="00000000" w:rsidRPr="00000000">
        <w:rPr>
          <w:rtl w:val="0"/>
        </w:rPr>
      </w:r>
    </w:p>
    <w:p w:rsidR="00000000" w:rsidDel="00000000" w:rsidP="00000000" w:rsidRDefault="00000000" w:rsidRPr="00000000" w14:paraId="0000005A">
      <w:pPr>
        <w:rPr>
          <w:rFonts w:ascii="Verdana" w:cs="Verdana" w:eastAsia="Verdana" w:hAnsi="Verdana"/>
          <w:sz w:val="17"/>
          <w:szCs w:val="17"/>
          <w:vertAlign w:val="baseline"/>
        </w:rPr>
      </w:pPr>
      <w:r w:rsidDel="00000000" w:rsidR="00000000" w:rsidRPr="00000000">
        <w:rPr>
          <w:rtl w:val="0"/>
        </w:rPr>
      </w:r>
    </w:p>
    <w:tbl>
      <w:tblPr>
        <w:tblStyle w:val="Table1"/>
        <w:tblW w:w="9457.0" w:type="dxa"/>
        <w:jc w:val="left"/>
        <w:tblInd w:w="352.0" w:type="dxa"/>
        <w:tblLayout w:type="fixed"/>
        <w:tblLook w:val="0000"/>
      </w:tblPr>
      <w:tblGrid>
        <w:gridCol w:w="5885"/>
        <w:gridCol w:w="1701"/>
        <w:gridCol w:w="170"/>
        <w:gridCol w:w="1701"/>
        <w:tblGridChange w:id="0">
          <w:tblGrid>
            <w:gridCol w:w="5885"/>
            <w:gridCol w:w="1701"/>
            <w:gridCol w:w="170"/>
            <w:gridCol w:w="1701"/>
          </w:tblGrid>
        </w:tblGridChange>
      </w:tblGrid>
      <w:tr>
        <w:tc>
          <w:tcPr>
            <w:vAlign w:val="top"/>
          </w:tcPr>
          <w:p w:rsidR="00000000" w:rsidDel="00000000" w:rsidP="00000000" w:rsidRDefault="00000000" w:rsidRPr="00000000" w14:paraId="0000005B">
            <w:pPr>
              <w:rPr>
                <w:rFonts w:ascii="Verdana" w:cs="Verdana" w:eastAsia="Verdana" w:hAnsi="Verdana"/>
                <w:b w:val="0"/>
                <w:sz w:val="17"/>
                <w:szCs w:val="17"/>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C">
            <w:pPr>
              <w:jc w:val="cente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31/12/2017</w:t>
            </w:r>
            <w:r w:rsidDel="00000000" w:rsidR="00000000" w:rsidRPr="00000000">
              <w:rPr>
                <w:rtl w:val="0"/>
              </w:rPr>
            </w:r>
          </w:p>
        </w:tc>
        <w:tc>
          <w:tcPr>
            <w:vAlign w:val="top"/>
          </w:tcPr>
          <w:p w:rsidR="00000000" w:rsidDel="00000000" w:rsidP="00000000" w:rsidRDefault="00000000" w:rsidRPr="00000000" w14:paraId="0000005D">
            <w:pPr>
              <w:jc w:val="center"/>
              <w:rPr>
                <w:rFonts w:ascii="Verdana" w:cs="Verdana" w:eastAsia="Verdana" w:hAnsi="Verdana"/>
                <w:b w:val="0"/>
                <w:sz w:val="17"/>
                <w:szCs w:val="17"/>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E">
            <w:pPr>
              <w:jc w:val="cente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31/12/2016</w:t>
            </w:r>
            <w:r w:rsidDel="00000000" w:rsidR="00000000" w:rsidRPr="00000000">
              <w:rPr>
                <w:rtl w:val="0"/>
              </w:rPr>
            </w:r>
          </w:p>
        </w:tc>
      </w:tr>
      <w:tr>
        <w:tc>
          <w:tcPr>
            <w:vAlign w:val="top"/>
          </w:tcPr>
          <w:p w:rsidR="00000000" w:rsidDel="00000000" w:rsidP="00000000" w:rsidRDefault="00000000" w:rsidRPr="00000000" w14:paraId="0000005F">
            <w:pP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a) Créditos</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0">
            <w:pPr>
              <w:jc w:val="center"/>
              <w:rPr>
                <w:rFonts w:ascii="Verdana" w:cs="Verdana" w:eastAsia="Verdana" w:hAnsi="Verdana"/>
                <w:b w:val="0"/>
                <w:sz w:val="17"/>
                <w:szCs w:val="17"/>
                <w:vertAlign w:val="baseline"/>
              </w:rPr>
            </w:pPr>
            <w:r w:rsidDel="00000000" w:rsidR="00000000" w:rsidRPr="00000000">
              <w:rPr>
                <w:rtl w:val="0"/>
              </w:rPr>
            </w:r>
          </w:p>
        </w:tc>
        <w:tc>
          <w:tcPr>
            <w:vAlign w:val="top"/>
          </w:tcPr>
          <w:p w:rsidR="00000000" w:rsidDel="00000000" w:rsidP="00000000" w:rsidRDefault="00000000" w:rsidRPr="00000000" w14:paraId="00000061">
            <w:pPr>
              <w:jc w:val="center"/>
              <w:rPr>
                <w:rFonts w:ascii="Verdana" w:cs="Verdana" w:eastAsia="Verdana" w:hAnsi="Verdana"/>
                <w:b w:val="0"/>
                <w:sz w:val="17"/>
                <w:szCs w:val="17"/>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2">
            <w:pPr>
              <w:jc w:val="center"/>
              <w:rPr>
                <w:rFonts w:ascii="Verdana" w:cs="Verdana" w:eastAsia="Verdana" w:hAnsi="Verdana"/>
                <w:b w:val="0"/>
                <w:sz w:val="17"/>
                <w:szCs w:val="17"/>
                <w:vertAlign w:val="baseline"/>
              </w:rPr>
            </w:pPr>
            <w:r w:rsidDel="00000000" w:rsidR="00000000" w:rsidRPr="00000000">
              <w:rPr>
                <w:rtl w:val="0"/>
              </w:rPr>
            </w:r>
          </w:p>
        </w:tc>
      </w:tr>
      <w:tr>
        <w:trPr>
          <w:trHeight w:val="80" w:hRule="atLeast"/>
        </w:trPr>
        <w:tc>
          <w:tcPr>
            <w:vAlign w:val="top"/>
          </w:tcPr>
          <w:p w:rsidR="00000000" w:rsidDel="00000000" w:rsidP="00000000" w:rsidRDefault="00000000" w:rsidRPr="00000000" w14:paraId="00000063">
            <w:pPr>
              <w:ind w:left="624"/>
              <w:jc w:val="both"/>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64">
            <w:pPr>
              <w:ind w:left="624"/>
              <w:jc w:val="both"/>
              <w:rPr>
                <w:rFonts w:ascii="Verdana" w:cs="Verdana" w:eastAsia="Verdana" w:hAnsi="Verdana"/>
                <w:sz w:val="17"/>
                <w:szCs w:val="17"/>
                <w:highlight w:val="yellow"/>
                <w:vertAlign w:val="baseline"/>
              </w:rPr>
            </w:pPr>
            <w:r w:rsidDel="00000000" w:rsidR="00000000" w:rsidRPr="00000000">
              <w:rPr>
                <w:rtl w:val="0"/>
              </w:rPr>
            </w:r>
          </w:p>
        </w:tc>
        <w:tc>
          <w:tcPr>
            <w:vAlign w:val="top"/>
          </w:tcPr>
          <w:p w:rsidR="00000000" w:rsidDel="00000000" w:rsidP="00000000" w:rsidRDefault="00000000" w:rsidRPr="00000000" w14:paraId="00000065">
            <w:pPr>
              <w:ind w:left="624"/>
              <w:jc w:val="both"/>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66">
            <w:pPr>
              <w:ind w:left="624"/>
              <w:jc w:val="both"/>
              <w:rPr>
                <w:rFonts w:ascii="Verdana" w:cs="Verdana" w:eastAsia="Verdana" w:hAnsi="Verdana"/>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067">
            <w:pPr>
              <w:ind w:left="357"/>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Recursos presupuestarios facturados</w:t>
            </w:r>
          </w:p>
        </w:tc>
        <w:tc>
          <w:tcPr>
            <w:vAlign w:val="top"/>
          </w:tcPr>
          <w:p w:rsidR="00000000" w:rsidDel="00000000" w:rsidP="00000000" w:rsidRDefault="00000000" w:rsidRPr="00000000" w14:paraId="00000068">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1.747.372</w:t>
            </w:r>
          </w:p>
        </w:tc>
        <w:tc>
          <w:tcPr>
            <w:vAlign w:val="top"/>
          </w:tcPr>
          <w:p w:rsidR="00000000" w:rsidDel="00000000" w:rsidP="00000000" w:rsidRDefault="00000000" w:rsidRPr="00000000" w14:paraId="00000069">
            <w:pPr>
              <w:jc w:val="right"/>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6A">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1.418.209</w:t>
            </w:r>
          </w:p>
        </w:tc>
      </w:tr>
      <w:tr>
        <w:tc>
          <w:tcPr>
            <w:vAlign w:val="top"/>
          </w:tcPr>
          <w:p w:rsidR="00000000" w:rsidDel="00000000" w:rsidP="00000000" w:rsidRDefault="00000000" w:rsidRPr="00000000" w14:paraId="0000006B">
            <w:pPr>
              <w:ind w:left="357"/>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Recursos presupuestarios a facturar</w:t>
            </w:r>
          </w:p>
        </w:tc>
        <w:tc>
          <w:tcPr>
            <w:vAlign w:val="top"/>
          </w:tcPr>
          <w:p w:rsidR="00000000" w:rsidDel="00000000" w:rsidP="00000000" w:rsidRDefault="00000000" w:rsidRPr="00000000" w14:paraId="0000006C">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w:t>
            </w:r>
          </w:p>
        </w:tc>
        <w:tc>
          <w:tcPr>
            <w:vAlign w:val="top"/>
          </w:tcPr>
          <w:p w:rsidR="00000000" w:rsidDel="00000000" w:rsidP="00000000" w:rsidRDefault="00000000" w:rsidRPr="00000000" w14:paraId="0000006D">
            <w:pPr>
              <w:jc w:val="right"/>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6E">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80.941</w:t>
            </w:r>
          </w:p>
        </w:tc>
      </w:tr>
      <w:tr>
        <w:tc>
          <w:tcPr>
            <w:vAlign w:val="top"/>
          </w:tcPr>
          <w:p w:rsidR="00000000" w:rsidDel="00000000" w:rsidP="00000000" w:rsidRDefault="00000000" w:rsidRPr="00000000" w14:paraId="0000006F">
            <w:pPr>
              <w:ind w:left="357"/>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Cobranzas sin identificar</w:t>
            </w:r>
          </w:p>
        </w:tc>
        <w:tc>
          <w:tcPr>
            <w:vAlign w:val="top"/>
          </w:tcPr>
          <w:p w:rsidR="00000000" w:rsidDel="00000000" w:rsidP="00000000" w:rsidRDefault="00000000" w:rsidRPr="00000000" w14:paraId="00000070">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(351.859)</w:t>
            </w:r>
          </w:p>
        </w:tc>
        <w:tc>
          <w:tcPr>
            <w:vAlign w:val="top"/>
          </w:tcPr>
          <w:p w:rsidR="00000000" w:rsidDel="00000000" w:rsidP="00000000" w:rsidRDefault="00000000" w:rsidRPr="00000000" w14:paraId="00000071">
            <w:pPr>
              <w:jc w:val="right"/>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72">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(535.505)</w:t>
            </w:r>
          </w:p>
        </w:tc>
      </w:tr>
      <w:tr>
        <w:tc>
          <w:tcPr>
            <w:vAlign w:val="top"/>
          </w:tcPr>
          <w:p w:rsidR="00000000" w:rsidDel="00000000" w:rsidP="00000000" w:rsidRDefault="00000000" w:rsidRPr="00000000" w14:paraId="00000073">
            <w:pPr>
              <w:ind w:left="357"/>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Previsión para créditos presupuestarios incobrables</w:t>
            </w:r>
          </w:p>
        </w:tc>
        <w:tc>
          <w:tcPr>
            <w:vAlign w:val="top"/>
          </w:tcPr>
          <w:p w:rsidR="00000000" w:rsidDel="00000000" w:rsidP="00000000" w:rsidRDefault="00000000" w:rsidRPr="00000000" w14:paraId="00000074">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(469.356)</w:t>
            </w:r>
          </w:p>
        </w:tc>
        <w:tc>
          <w:tcPr>
            <w:vAlign w:val="top"/>
          </w:tcPr>
          <w:p w:rsidR="00000000" w:rsidDel="00000000" w:rsidP="00000000" w:rsidRDefault="00000000" w:rsidRPr="00000000" w14:paraId="00000075">
            <w:pPr>
              <w:jc w:val="right"/>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76">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(413.628)</w:t>
            </w:r>
          </w:p>
        </w:tc>
      </w:tr>
      <w:tr>
        <w:tc>
          <w:tcPr>
            <w:vAlign w:val="top"/>
          </w:tcPr>
          <w:p w:rsidR="00000000" w:rsidDel="00000000" w:rsidP="00000000" w:rsidRDefault="00000000" w:rsidRPr="00000000" w14:paraId="00000077">
            <w:pPr>
              <w:ind w:left="357"/>
              <w:jc w:val="cente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Total (a)</w:t>
            </w: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78">
            <w:pPr>
              <w:jc w:val="right"/>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926.157</w:t>
            </w:r>
            <w:r w:rsidDel="00000000" w:rsidR="00000000" w:rsidRPr="00000000">
              <w:rPr>
                <w:rtl w:val="0"/>
              </w:rPr>
            </w:r>
          </w:p>
        </w:tc>
        <w:tc>
          <w:tcPr>
            <w:vAlign w:val="top"/>
          </w:tcPr>
          <w:p w:rsidR="00000000" w:rsidDel="00000000" w:rsidP="00000000" w:rsidRDefault="00000000" w:rsidRPr="00000000" w14:paraId="00000079">
            <w:pPr>
              <w:jc w:val="right"/>
              <w:rPr>
                <w:rFonts w:ascii="Verdana" w:cs="Verdana" w:eastAsia="Verdana" w:hAnsi="Verdana"/>
                <w:sz w:val="17"/>
                <w:szCs w:val="17"/>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7A">
            <w:pPr>
              <w:jc w:val="right"/>
              <w:rPr>
                <w:rFonts w:ascii="Verdana" w:cs="Verdana" w:eastAsia="Verdana" w:hAnsi="Verdana"/>
                <w:b w:val="0"/>
                <w:sz w:val="17"/>
                <w:szCs w:val="17"/>
                <w:highlight w:val="yellow"/>
                <w:vertAlign w:val="baseline"/>
              </w:rPr>
            </w:pPr>
            <w:r w:rsidDel="00000000" w:rsidR="00000000" w:rsidRPr="00000000">
              <w:rPr>
                <w:rFonts w:ascii="Verdana" w:cs="Verdana" w:eastAsia="Verdana" w:hAnsi="Verdana"/>
                <w:b w:val="1"/>
                <w:sz w:val="17"/>
                <w:szCs w:val="17"/>
                <w:vertAlign w:val="baseline"/>
                <w:rtl w:val="0"/>
              </w:rPr>
              <w:t xml:space="preserve">550.017</w:t>
            </w:r>
            <w:r w:rsidDel="00000000" w:rsidR="00000000" w:rsidRPr="00000000">
              <w:rPr>
                <w:rtl w:val="0"/>
              </w:rPr>
            </w:r>
          </w:p>
        </w:tc>
      </w:tr>
    </w:tbl>
    <w:p w:rsidR="00000000" w:rsidDel="00000000" w:rsidP="00000000" w:rsidRDefault="00000000" w:rsidRPr="00000000" w14:paraId="0000007B">
      <w:pPr>
        <w:rPr>
          <w:rFonts w:ascii="Verdana" w:cs="Verdana" w:eastAsia="Verdana" w:hAnsi="Verdana"/>
          <w:sz w:val="17"/>
          <w:szCs w:val="17"/>
          <w:vertAlign w:val="baseline"/>
        </w:rPr>
      </w:pPr>
      <w:r w:rsidDel="00000000" w:rsidR="00000000" w:rsidRPr="00000000">
        <w:rPr>
          <w:rtl w:val="0"/>
        </w:rPr>
      </w:r>
    </w:p>
    <w:tbl>
      <w:tblPr>
        <w:tblStyle w:val="Table2"/>
        <w:tblW w:w="9457.0" w:type="dxa"/>
        <w:jc w:val="left"/>
        <w:tblInd w:w="352.0" w:type="dxa"/>
        <w:tblLayout w:type="fixed"/>
        <w:tblLook w:val="0000"/>
      </w:tblPr>
      <w:tblGrid>
        <w:gridCol w:w="5885"/>
        <w:gridCol w:w="1701"/>
        <w:gridCol w:w="170"/>
        <w:gridCol w:w="1701"/>
        <w:tblGridChange w:id="0">
          <w:tblGrid>
            <w:gridCol w:w="5885"/>
            <w:gridCol w:w="1701"/>
            <w:gridCol w:w="170"/>
            <w:gridCol w:w="1701"/>
          </w:tblGrid>
        </w:tblGridChange>
      </w:tblGrid>
      <w:tr>
        <w:tc>
          <w:tcPr>
            <w:vAlign w:val="top"/>
          </w:tcPr>
          <w:p w:rsidR="00000000" w:rsidDel="00000000" w:rsidP="00000000" w:rsidRDefault="00000000" w:rsidRPr="00000000" w14:paraId="0000007C">
            <w:pP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b) Otros créditos</w:t>
            </w:r>
            <w:r w:rsidDel="00000000" w:rsidR="00000000" w:rsidRPr="00000000">
              <w:rPr>
                <w:rtl w:val="0"/>
              </w:rPr>
            </w:r>
          </w:p>
        </w:tc>
        <w:tc>
          <w:tcPr>
            <w:vAlign w:val="top"/>
          </w:tcPr>
          <w:p w:rsidR="00000000" w:rsidDel="00000000" w:rsidP="00000000" w:rsidRDefault="00000000" w:rsidRPr="00000000" w14:paraId="0000007D">
            <w:pPr>
              <w:jc w:val="right"/>
              <w:rPr>
                <w:rFonts w:ascii="Verdana" w:cs="Verdana" w:eastAsia="Verdana" w:hAnsi="Verdana"/>
                <w:b w:val="0"/>
                <w:sz w:val="17"/>
                <w:szCs w:val="17"/>
                <w:vertAlign w:val="baseline"/>
              </w:rPr>
            </w:pPr>
            <w:r w:rsidDel="00000000" w:rsidR="00000000" w:rsidRPr="00000000">
              <w:rPr>
                <w:rtl w:val="0"/>
              </w:rPr>
            </w:r>
          </w:p>
        </w:tc>
        <w:tc>
          <w:tcPr>
            <w:vAlign w:val="top"/>
          </w:tcPr>
          <w:p w:rsidR="00000000" w:rsidDel="00000000" w:rsidP="00000000" w:rsidRDefault="00000000" w:rsidRPr="00000000" w14:paraId="0000007E">
            <w:pPr>
              <w:jc w:val="right"/>
              <w:rPr>
                <w:rFonts w:ascii="Verdana" w:cs="Verdana" w:eastAsia="Verdana" w:hAnsi="Verdana"/>
                <w:b w:val="0"/>
                <w:sz w:val="17"/>
                <w:szCs w:val="17"/>
                <w:vertAlign w:val="baseline"/>
              </w:rPr>
            </w:pPr>
            <w:r w:rsidDel="00000000" w:rsidR="00000000" w:rsidRPr="00000000">
              <w:rPr>
                <w:rtl w:val="0"/>
              </w:rPr>
            </w:r>
          </w:p>
        </w:tc>
        <w:tc>
          <w:tcPr>
            <w:vAlign w:val="top"/>
          </w:tcPr>
          <w:p w:rsidR="00000000" w:rsidDel="00000000" w:rsidP="00000000" w:rsidRDefault="00000000" w:rsidRPr="00000000" w14:paraId="0000007F">
            <w:pPr>
              <w:jc w:val="right"/>
              <w:rPr>
                <w:rFonts w:ascii="Verdana" w:cs="Verdana" w:eastAsia="Verdana" w:hAnsi="Verdana"/>
                <w:b w:val="0"/>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080">
            <w:pPr>
              <w:ind w:left="357"/>
              <w:jc w:val="both"/>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81">
            <w:pPr>
              <w:jc w:val="right"/>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82">
            <w:pPr>
              <w:jc w:val="right"/>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83">
            <w:pPr>
              <w:jc w:val="right"/>
              <w:rPr>
                <w:rFonts w:ascii="Verdana" w:cs="Verdana" w:eastAsia="Verdana" w:hAnsi="Verdana"/>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084">
            <w:pPr>
              <w:numPr>
                <w:ilvl w:val="0"/>
                <w:numId w:val="2"/>
              </w:numPr>
              <w:ind w:left="1077" w:hanging="720"/>
              <w:jc w:val="both"/>
              <w:rPr>
                <w:rFonts w:ascii="Verdana" w:cs="Verdana" w:eastAsia="Verdana" w:hAnsi="Verdana"/>
                <w:b w:val="0"/>
                <w:sz w:val="17"/>
                <w:szCs w:val="17"/>
              </w:rPr>
            </w:pPr>
            <w:r w:rsidDel="00000000" w:rsidR="00000000" w:rsidRPr="00000000">
              <w:rPr>
                <w:rFonts w:ascii="Verdana" w:cs="Verdana" w:eastAsia="Verdana" w:hAnsi="Verdana"/>
                <w:b w:val="1"/>
                <w:sz w:val="17"/>
                <w:szCs w:val="17"/>
                <w:vertAlign w:val="baseline"/>
                <w:rtl w:val="0"/>
              </w:rPr>
              <w:t xml:space="preserve">Corrientes</w:t>
            </w:r>
            <w:r w:rsidDel="00000000" w:rsidR="00000000" w:rsidRPr="00000000">
              <w:rPr>
                <w:rtl w:val="0"/>
              </w:rPr>
            </w:r>
          </w:p>
        </w:tc>
        <w:tc>
          <w:tcPr>
            <w:vAlign w:val="top"/>
          </w:tcPr>
          <w:p w:rsidR="00000000" w:rsidDel="00000000" w:rsidP="00000000" w:rsidRDefault="00000000" w:rsidRPr="00000000" w14:paraId="00000085">
            <w:pPr>
              <w:jc w:val="right"/>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86">
            <w:pPr>
              <w:jc w:val="right"/>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87">
            <w:pPr>
              <w:jc w:val="right"/>
              <w:rPr>
                <w:rFonts w:ascii="Verdana" w:cs="Verdana" w:eastAsia="Verdana" w:hAnsi="Verdana"/>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088">
            <w:pPr>
              <w:ind w:left="357"/>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Gastos a recuperar</w:t>
            </w:r>
          </w:p>
          <w:p w:rsidR="00000000" w:rsidDel="00000000" w:rsidP="00000000" w:rsidRDefault="00000000" w:rsidRPr="00000000" w14:paraId="00000089">
            <w:pPr>
              <w:ind w:left="357"/>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Previsión para gastos a recuperar</w:t>
            </w:r>
          </w:p>
        </w:tc>
        <w:tc>
          <w:tcPr>
            <w:vAlign w:val="top"/>
          </w:tcPr>
          <w:p w:rsidR="00000000" w:rsidDel="00000000" w:rsidP="00000000" w:rsidRDefault="00000000" w:rsidRPr="00000000" w14:paraId="0000008A">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33.532</w:t>
            </w:r>
          </w:p>
          <w:p w:rsidR="00000000" w:rsidDel="00000000" w:rsidP="00000000" w:rsidRDefault="00000000" w:rsidRPr="00000000" w14:paraId="0000008B">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(16.765)</w:t>
            </w:r>
          </w:p>
        </w:tc>
        <w:tc>
          <w:tcPr>
            <w:vAlign w:val="top"/>
          </w:tcPr>
          <w:p w:rsidR="00000000" w:rsidDel="00000000" w:rsidP="00000000" w:rsidRDefault="00000000" w:rsidRPr="00000000" w14:paraId="0000008C">
            <w:pPr>
              <w:jc w:val="right"/>
              <w:rPr>
                <w:rFonts w:ascii="Verdana" w:cs="Verdana" w:eastAsia="Verdana" w:hAnsi="Verdana"/>
                <w:sz w:val="17"/>
                <w:szCs w:val="17"/>
                <w:highlight w:val="yellow"/>
                <w:vertAlign w:val="baseline"/>
              </w:rPr>
            </w:pPr>
            <w:r w:rsidDel="00000000" w:rsidR="00000000" w:rsidRPr="00000000">
              <w:rPr>
                <w:rtl w:val="0"/>
              </w:rPr>
            </w:r>
          </w:p>
        </w:tc>
        <w:tc>
          <w:tcPr>
            <w:vAlign w:val="top"/>
          </w:tcPr>
          <w:p w:rsidR="00000000" w:rsidDel="00000000" w:rsidP="00000000" w:rsidRDefault="00000000" w:rsidRPr="00000000" w14:paraId="0000008D">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33.532</w:t>
            </w:r>
          </w:p>
          <w:p w:rsidR="00000000" w:rsidDel="00000000" w:rsidP="00000000" w:rsidRDefault="00000000" w:rsidRPr="00000000" w14:paraId="0000008E">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w:t>
            </w:r>
          </w:p>
        </w:tc>
      </w:tr>
      <w:tr>
        <w:tc>
          <w:tcPr>
            <w:vAlign w:val="top"/>
          </w:tcPr>
          <w:p w:rsidR="00000000" w:rsidDel="00000000" w:rsidP="00000000" w:rsidRDefault="00000000" w:rsidRPr="00000000" w14:paraId="0000008F">
            <w:pPr>
              <w:ind w:left="357"/>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Total (b)</w:t>
            </w:r>
          </w:p>
        </w:tc>
        <w:tc>
          <w:tcPr>
            <w:tcBorders>
              <w:top w:color="000000" w:space="0" w:sz="4" w:val="single"/>
              <w:bottom w:color="000000" w:space="0" w:sz="4" w:val="single"/>
            </w:tcBorders>
            <w:vAlign w:val="top"/>
          </w:tcPr>
          <w:p w:rsidR="00000000" w:rsidDel="00000000" w:rsidP="00000000" w:rsidRDefault="00000000" w:rsidRPr="00000000" w14:paraId="00000090">
            <w:pPr>
              <w:jc w:val="right"/>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16.767</w:t>
            </w:r>
            <w:r w:rsidDel="00000000" w:rsidR="00000000" w:rsidRPr="00000000">
              <w:rPr>
                <w:rtl w:val="0"/>
              </w:rPr>
            </w:r>
          </w:p>
        </w:tc>
        <w:tc>
          <w:tcPr>
            <w:vAlign w:val="top"/>
          </w:tcPr>
          <w:p w:rsidR="00000000" w:rsidDel="00000000" w:rsidP="00000000" w:rsidRDefault="00000000" w:rsidRPr="00000000" w14:paraId="00000091">
            <w:pPr>
              <w:jc w:val="right"/>
              <w:rPr>
                <w:rFonts w:ascii="Verdana" w:cs="Verdana" w:eastAsia="Verdana" w:hAnsi="Verdana"/>
                <w:sz w:val="17"/>
                <w:szCs w:val="17"/>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92">
            <w:pPr>
              <w:jc w:val="right"/>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33.532</w:t>
            </w:r>
            <w:r w:rsidDel="00000000" w:rsidR="00000000" w:rsidRPr="00000000">
              <w:rPr>
                <w:rtl w:val="0"/>
              </w:rPr>
            </w:r>
          </w:p>
        </w:tc>
      </w:tr>
      <w:tr>
        <w:tc>
          <w:tcPr>
            <w:vAlign w:val="top"/>
          </w:tcPr>
          <w:p w:rsidR="00000000" w:rsidDel="00000000" w:rsidP="00000000" w:rsidRDefault="00000000" w:rsidRPr="00000000" w14:paraId="00000093">
            <w:pPr>
              <w:ind w:left="1077"/>
              <w:jc w:val="both"/>
              <w:rPr>
                <w:rFonts w:ascii="Verdana" w:cs="Verdana" w:eastAsia="Verdana" w:hAnsi="Verdana"/>
                <w:b w:val="0"/>
                <w:sz w:val="17"/>
                <w:szCs w:val="17"/>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4">
            <w:pPr>
              <w:jc w:val="right"/>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95">
            <w:pPr>
              <w:jc w:val="right"/>
              <w:rPr>
                <w:rFonts w:ascii="Verdana" w:cs="Verdana" w:eastAsia="Verdana" w:hAnsi="Verdana"/>
                <w:sz w:val="17"/>
                <w:szCs w:val="17"/>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6">
            <w:pPr>
              <w:jc w:val="right"/>
              <w:rPr>
                <w:rFonts w:ascii="Verdana" w:cs="Verdana" w:eastAsia="Verdana" w:hAnsi="Verdana"/>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097">
            <w:pPr>
              <w:numPr>
                <w:ilvl w:val="0"/>
                <w:numId w:val="2"/>
              </w:numPr>
              <w:ind w:left="1077" w:hanging="720"/>
              <w:jc w:val="both"/>
              <w:rPr>
                <w:rFonts w:ascii="Verdana" w:cs="Verdana" w:eastAsia="Verdana" w:hAnsi="Verdana"/>
                <w:b w:val="0"/>
                <w:sz w:val="17"/>
                <w:szCs w:val="17"/>
              </w:rPr>
            </w:pPr>
            <w:r w:rsidDel="00000000" w:rsidR="00000000" w:rsidRPr="00000000">
              <w:rPr>
                <w:rFonts w:ascii="Verdana" w:cs="Verdana" w:eastAsia="Verdana" w:hAnsi="Verdana"/>
                <w:b w:val="1"/>
                <w:sz w:val="17"/>
                <w:szCs w:val="17"/>
                <w:vertAlign w:val="baseline"/>
                <w:rtl w:val="0"/>
              </w:rPr>
              <w:t xml:space="preserve">No corrientes</w:t>
            </w:r>
            <w:r w:rsidDel="00000000" w:rsidR="00000000" w:rsidRPr="00000000">
              <w:rPr>
                <w:rtl w:val="0"/>
              </w:rPr>
            </w:r>
          </w:p>
        </w:tc>
        <w:tc>
          <w:tcPr>
            <w:vAlign w:val="top"/>
          </w:tcPr>
          <w:p w:rsidR="00000000" w:rsidDel="00000000" w:rsidP="00000000" w:rsidRDefault="00000000" w:rsidRPr="00000000" w14:paraId="00000098">
            <w:pPr>
              <w:jc w:val="right"/>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99">
            <w:pPr>
              <w:jc w:val="right"/>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9A">
            <w:pPr>
              <w:jc w:val="right"/>
              <w:rPr>
                <w:rFonts w:ascii="Verdana" w:cs="Verdana" w:eastAsia="Verdana" w:hAnsi="Verdana"/>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09B">
            <w:pPr>
              <w:ind w:left="357"/>
              <w:jc w:val="both"/>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Depósitos en garantía</w:t>
            </w:r>
          </w:p>
        </w:tc>
        <w:tc>
          <w:tcPr>
            <w:tcBorders>
              <w:bottom w:color="000000" w:space="0" w:sz="4" w:val="single"/>
            </w:tcBorders>
            <w:vAlign w:val="top"/>
          </w:tcPr>
          <w:p w:rsidR="00000000" w:rsidDel="00000000" w:rsidP="00000000" w:rsidRDefault="00000000" w:rsidRPr="00000000" w14:paraId="0000009C">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1.000</w:t>
            </w:r>
          </w:p>
        </w:tc>
        <w:tc>
          <w:tcPr>
            <w:vAlign w:val="top"/>
          </w:tcPr>
          <w:p w:rsidR="00000000" w:rsidDel="00000000" w:rsidP="00000000" w:rsidRDefault="00000000" w:rsidRPr="00000000" w14:paraId="0000009D">
            <w:pPr>
              <w:jc w:val="right"/>
              <w:rPr>
                <w:rFonts w:ascii="Verdana" w:cs="Verdana" w:eastAsia="Verdana" w:hAnsi="Verdana"/>
                <w:sz w:val="17"/>
                <w:szCs w:val="17"/>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E">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1.000</w:t>
            </w:r>
          </w:p>
        </w:tc>
      </w:tr>
      <w:tr>
        <w:tc>
          <w:tcPr>
            <w:vAlign w:val="top"/>
          </w:tcPr>
          <w:p w:rsidR="00000000" w:rsidDel="00000000" w:rsidP="00000000" w:rsidRDefault="00000000" w:rsidRPr="00000000" w14:paraId="0000009F">
            <w:pPr>
              <w:ind w:left="357"/>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Total (c)</w:t>
            </w:r>
          </w:p>
        </w:tc>
        <w:tc>
          <w:tcPr>
            <w:tcBorders>
              <w:top w:color="000000" w:space="0" w:sz="4" w:val="single"/>
              <w:bottom w:color="000000" w:space="0" w:sz="4" w:val="single"/>
            </w:tcBorders>
            <w:vAlign w:val="top"/>
          </w:tcPr>
          <w:p w:rsidR="00000000" w:rsidDel="00000000" w:rsidP="00000000" w:rsidRDefault="00000000" w:rsidRPr="00000000" w14:paraId="000000A0">
            <w:pPr>
              <w:jc w:val="right"/>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1.000</w:t>
            </w:r>
            <w:r w:rsidDel="00000000" w:rsidR="00000000" w:rsidRPr="00000000">
              <w:rPr>
                <w:rtl w:val="0"/>
              </w:rPr>
            </w:r>
          </w:p>
        </w:tc>
        <w:tc>
          <w:tcPr>
            <w:vAlign w:val="top"/>
          </w:tcPr>
          <w:p w:rsidR="00000000" w:rsidDel="00000000" w:rsidP="00000000" w:rsidRDefault="00000000" w:rsidRPr="00000000" w14:paraId="000000A1">
            <w:pPr>
              <w:jc w:val="right"/>
              <w:rPr>
                <w:rFonts w:ascii="Verdana" w:cs="Verdana" w:eastAsia="Verdana" w:hAnsi="Verdana"/>
                <w:sz w:val="17"/>
                <w:szCs w:val="17"/>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A2">
            <w:pPr>
              <w:jc w:val="right"/>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1.000</w:t>
            </w:r>
            <w:r w:rsidDel="00000000" w:rsidR="00000000" w:rsidRPr="00000000">
              <w:rPr>
                <w:rtl w:val="0"/>
              </w:rPr>
            </w:r>
          </w:p>
        </w:tc>
      </w:tr>
      <w:tr>
        <w:tc>
          <w:tcPr>
            <w:vAlign w:val="top"/>
          </w:tcPr>
          <w:p w:rsidR="00000000" w:rsidDel="00000000" w:rsidP="00000000" w:rsidRDefault="00000000" w:rsidRPr="00000000" w14:paraId="000000A3">
            <w:pP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c) Cuentas por pagar</w:t>
            </w:r>
            <w:r w:rsidDel="00000000" w:rsidR="00000000" w:rsidRPr="00000000">
              <w:rPr>
                <w:rtl w:val="0"/>
              </w:rPr>
            </w:r>
          </w:p>
        </w:tc>
        <w:tc>
          <w:tcPr>
            <w:vAlign w:val="top"/>
          </w:tcPr>
          <w:p w:rsidR="00000000" w:rsidDel="00000000" w:rsidP="00000000" w:rsidRDefault="00000000" w:rsidRPr="00000000" w14:paraId="000000A4">
            <w:pPr>
              <w:jc w:val="center"/>
              <w:rPr>
                <w:rFonts w:ascii="Verdana" w:cs="Verdana" w:eastAsia="Verdana" w:hAnsi="Verdana"/>
                <w:b w:val="0"/>
                <w:sz w:val="17"/>
                <w:szCs w:val="17"/>
                <w:vertAlign w:val="baseline"/>
              </w:rPr>
            </w:pPr>
            <w:r w:rsidDel="00000000" w:rsidR="00000000" w:rsidRPr="00000000">
              <w:rPr>
                <w:rtl w:val="0"/>
              </w:rPr>
            </w:r>
          </w:p>
        </w:tc>
        <w:tc>
          <w:tcPr>
            <w:vAlign w:val="top"/>
          </w:tcPr>
          <w:p w:rsidR="00000000" w:rsidDel="00000000" w:rsidP="00000000" w:rsidRDefault="00000000" w:rsidRPr="00000000" w14:paraId="000000A5">
            <w:pPr>
              <w:jc w:val="right"/>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A6">
            <w:pPr>
              <w:jc w:val="center"/>
              <w:rPr>
                <w:rFonts w:ascii="Verdana" w:cs="Verdana" w:eastAsia="Verdana" w:hAnsi="Verdana"/>
                <w:b w:val="0"/>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0A7">
            <w:pPr>
              <w:ind w:left="357"/>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A8">
            <w:pPr>
              <w:jc w:val="right"/>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A9">
            <w:pPr>
              <w:jc w:val="right"/>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AA">
            <w:pPr>
              <w:jc w:val="right"/>
              <w:rPr>
                <w:rFonts w:ascii="Verdana" w:cs="Verdana" w:eastAsia="Verdana" w:hAnsi="Verdana"/>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0AB">
            <w:pPr>
              <w:ind w:left="357"/>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Provisión facturas a recibir</w:t>
            </w:r>
          </w:p>
        </w:tc>
        <w:tc>
          <w:tcPr>
            <w:vAlign w:val="top"/>
          </w:tcPr>
          <w:p w:rsidR="00000000" w:rsidDel="00000000" w:rsidP="00000000" w:rsidRDefault="00000000" w:rsidRPr="00000000" w14:paraId="000000AC">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90.300</w:t>
            </w:r>
          </w:p>
        </w:tc>
        <w:tc>
          <w:tcPr>
            <w:vAlign w:val="top"/>
          </w:tcPr>
          <w:p w:rsidR="00000000" w:rsidDel="00000000" w:rsidP="00000000" w:rsidRDefault="00000000" w:rsidRPr="00000000" w14:paraId="000000AD">
            <w:pPr>
              <w:jc w:val="right"/>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AE">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70.000</w:t>
            </w:r>
          </w:p>
        </w:tc>
      </w:tr>
      <w:tr>
        <w:tc>
          <w:tcPr>
            <w:vAlign w:val="top"/>
          </w:tcPr>
          <w:p w:rsidR="00000000" w:rsidDel="00000000" w:rsidP="00000000" w:rsidRDefault="00000000" w:rsidRPr="00000000" w14:paraId="000000AF">
            <w:pPr>
              <w:ind w:left="357"/>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Proveedores</w:t>
            </w:r>
          </w:p>
        </w:tc>
        <w:tc>
          <w:tcPr>
            <w:vAlign w:val="top"/>
          </w:tcPr>
          <w:p w:rsidR="00000000" w:rsidDel="00000000" w:rsidP="00000000" w:rsidRDefault="00000000" w:rsidRPr="00000000" w14:paraId="000000B0">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5.139</w:t>
            </w:r>
          </w:p>
        </w:tc>
        <w:tc>
          <w:tcPr>
            <w:vAlign w:val="top"/>
          </w:tcPr>
          <w:p w:rsidR="00000000" w:rsidDel="00000000" w:rsidP="00000000" w:rsidRDefault="00000000" w:rsidRPr="00000000" w14:paraId="000000B1">
            <w:pPr>
              <w:jc w:val="right"/>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B2">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5.139</w:t>
            </w:r>
          </w:p>
        </w:tc>
      </w:tr>
      <w:tr>
        <w:tc>
          <w:tcPr>
            <w:vAlign w:val="top"/>
          </w:tcPr>
          <w:p w:rsidR="00000000" w:rsidDel="00000000" w:rsidP="00000000" w:rsidRDefault="00000000" w:rsidRPr="00000000" w14:paraId="000000B3">
            <w:pPr>
              <w:ind w:left="284"/>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Total (a)</w:t>
            </w:r>
          </w:p>
        </w:tc>
        <w:tc>
          <w:tcPr>
            <w:tcBorders>
              <w:top w:color="000000" w:space="0" w:sz="4" w:val="single"/>
              <w:bottom w:color="000000" w:space="0" w:sz="4" w:val="single"/>
            </w:tcBorders>
            <w:vAlign w:val="top"/>
          </w:tcPr>
          <w:p w:rsidR="00000000" w:rsidDel="00000000" w:rsidP="00000000" w:rsidRDefault="00000000" w:rsidRPr="00000000" w14:paraId="000000B4">
            <w:pPr>
              <w:jc w:val="right"/>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95.439</w:t>
            </w:r>
            <w:r w:rsidDel="00000000" w:rsidR="00000000" w:rsidRPr="00000000">
              <w:rPr>
                <w:rtl w:val="0"/>
              </w:rPr>
            </w:r>
          </w:p>
        </w:tc>
        <w:tc>
          <w:tcPr>
            <w:vAlign w:val="top"/>
          </w:tcPr>
          <w:p w:rsidR="00000000" w:rsidDel="00000000" w:rsidP="00000000" w:rsidRDefault="00000000" w:rsidRPr="00000000" w14:paraId="000000B5">
            <w:pPr>
              <w:jc w:val="right"/>
              <w:rPr>
                <w:rFonts w:ascii="Verdana" w:cs="Verdana" w:eastAsia="Verdana" w:hAnsi="Verdana"/>
                <w:b w:val="0"/>
                <w:sz w:val="17"/>
                <w:szCs w:val="17"/>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B6">
            <w:pPr>
              <w:jc w:val="right"/>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75.139</w:t>
            </w:r>
            <w:r w:rsidDel="00000000" w:rsidR="00000000" w:rsidRPr="00000000">
              <w:rPr>
                <w:rtl w:val="0"/>
              </w:rPr>
            </w:r>
          </w:p>
        </w:tc>
      </w:tr>
    </w:tbl>
    <w:p w:rsidR="00000000" w:rsidDel="00000000" w:rsidP="00000000" w:rsidRDefault="00000000" w:rsidRPr="00000000" w14:paraId="000000B7">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B8">
      <w:pPr>
        <w:rPr>
          <w:vertAlign w:val="baseline"/>
        </w:rPr>
        <w:sectPr>
          <w:type w:val="nextPage"/>
          <w:pgSz w:h="16840" w:w="11907"/>
          <w:pgMar w:bottom="567" w:top="1134" w:left="1134" w:right="1134" w:header="624" w:footer="397"/>
          <w:cols w:equalWidth="0"/>
        </w:sectPr>
      </w:pPr>
      <w:r w:rsidDel="00000000" w:rsidR="00000000" w:rsidRPr="00000000">
        <w:rPr>
          <w:rtl w:val="0"/>
        </w:rPr>
      </w:r>
    </w:p>
    <w:p w:rsidR="00000000" w:rsidDel="00000000" w:rsidP="00000000" w:rsidRDefault="00000000" w:rsidRPr="00000000" w14:paraId="000000B9">
      <w:pPr>
        <w:rPr>
          <w:rFonts w:ascii="Verdana" w:cs="Verdana" w:eastAsia="Verdana" w:hAnsi="Verdana"/>
          <w:sz w:val="17"/>
          <w:szCs w:val="17"/>
          <w:vertAlign w:val="baseline"/>
        </w:rPr>
      </w:pPr>
      <w:r w:rsidDel="00000000" w:rsidR="00000000" w:rsidRPr="00000000">
        <w:rPr>
          <w:rtl w:val="0"/>
        </w:rPr>
      </w:r>
    </w:p>
    <w:tbl>
      <w:tblPr>
        <w:tblStyle w:val="Table3"/>
        <w:tblW w:w="9457.0" w:type="dxa"/>
        <w:jc w:val="left"/>
        <w:tblInd w:w="352.0" w:type="dxa"/>
        <w:tblLayout w:type="fixed"/>
        <w:tblLook w:val="0000"/>
      </w:tblPr>
      <w:tblGrid>
        <w:gridCol w:w="5885"/>
        <w:gridCol w:w="1701"/>
        <w:gridCol w:w="170"/>
        <w:gridCol w:w="1701"/>
        <w:tblGridChange w:id="0">
          <w:tblGrid>
            <w:gridCol w:w="5885"/>
            <w:gridCol w:w="1701"/>
            <w:gridCol w:w="170"/>
            <w:gridCol w:w="1701"/>
          </w:tblGrid>
        </w:tblGridChange>
      </w:tblGrid>
      <w:tr>
        <w:tc>
          <w:tcPr>
            <w:vAlign w:val="top"/>
          </w:tcPr>
          <w:p w:rsidR="00000000" w:rsidDel="00000000" w:rsidP="00000000" w:rsidRDefault="00000000" w:rsidRPr="00000000" w14:paraId="000000BA">
            <w:pPr>
              <w:rPr>
                <w:rFonts w:ascii="Verdana" w:cs="Verdana" w:eastAsia="Verdana" w:hAnsi="Verdana"/>
                <w:b w:val="0"/>
                <w:sz w:val="17"/>
                <w:szCs w:val="17"/>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B">
            <w:pPr>
              <w:jc w:val="cente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31/12/2017</w:t>
            </w:r>
            <w:r w:rsidDel="00000000" w:rsidR="00000000" w:rsidRPr="00000000">
              <w:rPr>
                <w:rtl w:val="0"/>
              </w:rPr>
            </w:r>
          </w:p>
        </w:tc>
        <w:tc>
          <w:tcPr>
            <w:vAlign w:val="top"/>
          </w:tcPr>
          <w:p w:rsidR="00000000" w:rsidDel="00000000" w:rsidP="00000000" w:rsidRDefault="00000000" w:rsidRPr="00000000" w14:paraId="000000BC">
            <w:pPr>
              <w:jc w:val="center"/>
              <w:rPr>
                <w:rFonts w:ascii="Verdana" w:cs="Verdana" w:eastAsia="Verdana" w:hAnsi="Verdana"/>
                <w:b w:val="0"/>
                <w:sz w:val="17"/>
                <w:szCs w:val="17"/>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D">
            <w:pPr>
              <w:jc w:val="cente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31/12/2016</w:t>
            </w:r>
            <w:r w:rsidDel="00000000" w:rsidR="00000000" w:rsidRPr="00000000">
              <w:rPr>
                <w:rtl w:val="0"/>
              </w:rPr>
            </w:r>
          </w:p>
        </w:tc>
      </w:tr>
      <w:tr>
        <w:tc>
          <w:tcPr>
            <w:vAlign w:val="top"/>
          </w:tcPr>
          <w:p w:rsidR="00000000" w:rsidDel="00000000" w:rsidP="00000000" w:rsidRDefault="00000000" w:rsidRPr="00000000" w14:paraId="000000BE">
            <w:pP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d) Otras deudas</w:t>
            </w:r>
            <w:r w:rsidDel="00000000" w:rsidR="00000000" w:rsidRPr="00000000">
              <w:rPr>
                <w:rtl w:val="0"/>
              </w:rPr>
            </w:r>
          </w:p>
        </w:tc>
        <w:tc>
          <w:tcPr>
            <w:vAlign w:val="top"/>
          </w:tcPr>
          <w:p w:rsidR="00000000" w:rsidDel="00000000" w:rsidP="00000000" w:rsidRDefault="00000000" w:rsidRPr="00000000" w14:paraId="000000BF">
            <w:pPr>
              <w:jc w:val="center"/>
              <w:rPr>
                <w:rFonts w:ascii="Verdana" w:cs="Verdana" w:eastAsia="Verdana" w:hAnsi="Verdana"/>
                <w:b w:val="0"/>
                <w:sz w:val="17"/>
                <w:szCs w:val="17"/>
                <w:vertAlign w:val="baseline"/>
              </w:rPr>
            </w:pPr>
            <w:r w:rsidDel="00000000" w:rsidR="00000000" w:rsidRPr="00000000">
              <w:rPr>
                <w:rtl w:val="0"/>
              </w:rPr>
            </w:r>
          </w:p>
        </w:tc>
        <w:tc>
          <w:tcPr>
            <w:vAlign w:val="top"/>
          </w:tcPr>
          <w:p w:rsidR="00000000" w:rsidDel="00000000" w:rsidP="00000000" w:rsidRDefault="00000000" w:rsidRPr="00000000" w14:paraId="000000C0">
            <w:pPr>
              <w:jc w:val="right"/>
              <w:rPr>
                <w:rFonts w:ascii="Verdana" w:cs="Verdana" w:eastAsia="Verdana" w:hAnsi="Verdana"/>
                <w:b w:val="0"/>
                <w:sz w:val="17"/>
                <w:szCs w:val="17"/>
                <w:vertAlign w:val="baseline"/>
              </w:rPr>
            </w:pPr>
            <w:r w:rsidDel="00000000" w:rsidR="00000000" w:rsidRPr="00000000">
              <w:rPr>
                <w:rtl w:val="0"/>
              </w:rPr>
            </w:r>
          </w:p>
        </w:tc>
        <w:tc>
          <w:tcPr>
            <w:vAlign w:val="top"/>
          </w:tcPr>
          <w:p w:rsidR="00000000" w:rsidDel="00000000" w:rsidP="00000000" w:rsidRDefault="00000000" w:rsidRPr="00000000" w14:paraId="000000C1">
            <w:pPr>
              <w:jc w:val="right"/>
              <w:rPr>
                <w:rFonts w:ascii="Verdana" w:cs="Verdana" w:eastAsia="Verdana" w:hAnsi="Verdana"/>
                <w:b w:val="0"/>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0C2">
            <w:pPr>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C3">
            <w:pPr>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C4">
            <w:pPr>
              <w:rPr>
                <w:rFonts w:ascii="Verdana" w:cs="Verdana" w:eastAsia="Verdana" w:hAnsi="Verdana"/>
                <w:sz w:val="17"/>
                <w:szCs w:val="17"/>
                <w:vertAlign w:val="baseline"/>
              </w:rPr>
            </w:pPr>
            <w:r w:rsidDel="00000000" w:rsidR="00000000" w:rsidRPr="00000000">
              <w:rPr>
                <w:rtl w:val="0"/>
              </w:rPr>
            </w:r>
          </w:p>
        </w:tc>
        <w:tc>
          <w:tcPr>
            <w:vAlign w:val="top"/>
          </w:tcPr>
          <w:p w:rsidR="00000000" w:rsidDel="00000000" w:rsidP="00000000" w:rsidRDefault="00000000" w:rsidRPr="00000000" w14:paraId="000000C5">
            <w:pPr>
              <w:rPr>
                <w:rFonts w:ascii="Verdana" w:cs="Verdana" w:eastAsia="Verdana" w:hAnsi="Verdana"/>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0C6">
            <w:pPr>
              <w:ind w:left="357"/>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Cobranzas a reintegrar</w:t>
            </w:r>
          </w:p>
        </w:tc>
        <w:tc>
          <w:tcPr>
            <w:vAlign w:val="top"/>
          </w:tcPr>
          <w:p w:rsidR="00000000" w:rsidDel="00000000" w:rsidP="00000000" w:rsidRDefault="00000000" w:rsidRPr="00000000" w14:paraId="000000C7">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1.253.067</w:t>
            </w:r>
          </w:p>
        </w:tc>
        <w:tc>
          <w:tcPr>
            <w:vAlign w:val="top"/>
          </w:tcPr>
          <w:p w:rsidR="00000000" w:rsidDel="00000000" w:rsidP="00000000" w:rsidRDefault="00000000" w:rsidRPr="00000000" w14:paraId="000000C8">
            <w:pPr>
              <w:jc w:val="right"/>
              <w:rPr>
                <w:rFonts w:ascii="Verdana" w:cs="Verdana" w:eastAsia="Verdana" w:hAnsi="Verdana"/>
                <w:sz w:val="17"/>
                <w:szCs w:val="17"/>
                <w:highlight w:val="yellow"/>
                <w:vertAlign w:val="baseline"/>
              </w:rPr>
            </w:pPr>
            <w:r w:rsidDel="00000000" w:rsidR="00000000" w:rsidRPr="00000000">
              <w:rPr>
                <w:rtl w:val="0"/>
              </w:rPr>
            </w:r>
          </w:p>
        </w:tc>
        <w:tc>
          <w:tcPr>
            <w:vAlign w:val="top"/>
          </w:tcPr>
          <w:p w:rsidR="00000000" w:rsidDel="00000000" w:rsidP="00000000" w:rsidRDefault="00000000" w:rsidRPr="00000000" w14:paraId="000000C9">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230.103</w:t>
            </w:r>
          </w:p>
        </w:tc>
      </w:tr>
      <w:tr>
        <w:tc>
          <w:tcPr>
            <w:vAlign w:val="top"/>
          </w:tcPr>
          <w:p w:rsidR="00000000" w:rsidDel="00000000" w:rsidP="00000000" w:rsidRDefault="00000000" w:rsidRPr="00000000" w14:paraId="000000CA">
            <w:pPr>
              <w:tabs>
                <w:tab w:val="left" w:pos="2835"/>
              </w:tabs>
              <w:ind w:left="284"/>
              <w:jc w:val="cente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Total</w:t>
            </w: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CB">
            <w:pPr>
              <w:jc w:val="right"/>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1.253.067</w:t>
            </w:r>
            <w:r w:rsidDel="00000000" w:rsidR="00000000" w:rsidRPr="00000000">
              <w:rPr>
                <w:rtl w:val="0"/>
              </w:rPr>
            </w:r>
          </w:p>
        </w:tc>
        <w:tc>
          <w:tcPr>
            <w:vAlign w:val="top"/>
          </w:tcPr>
          <w:p w:rsidR="00000000" w:rsidDel="00000000" w:rsidP="00000000" w:rsidRDefault="00000000" w:rsidRPr="00000000" w14:paraId="000000CC">
            <w:pPr>
              <w:jc w:val="right"/>
              <w:rPr>
                <w:rFonts w:ascii="Verdana" w:cs="Verdana" w:eastAsia="Verdana" w:hAnsi="Verdana"/>
                <w:b w:val="0"/>
                <w:sz w:val="17"/>
                <w:szCs w:val="17"/>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CD">
            <w:pPr>
              <w:jc w:val="right"/>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230.103</w:t>
            </w:r>
            <w:r w:rsidDel="00000000" w:rsidR="00000000" w:rsidRPr="00000000">
              <w:rPr>
                <w:rtl w:val="0"/>
              </w:rPr>
            </w:r>
          </w:p>
        </w:tc>
      </w:tr>
    </w:tbl>
    <w:p w:rsidR="00000000" w:rsidDel="00000000" w:rsidP="00000000" w:rsidRDefault="00000000" w:rsidRPr="00000000" w14:paraId="000000CE">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0CF">
      <w:pPr>
        <w:numPr>
          <w:ilvl w:val="0"/>
          <w:numId w:val="1"/>
        </w:numPr>
        <w:ind w:left="701" w:firstLine="7.999999999999972"/>
        <w:jc w:val="both"/>
        <w:rPr>
          <w:rFonts w:ascii="Verdana" w:cs="Verdana" w:eastAsia="Verdana" w:hAnsi="Verdana"/>
          <w:sz w:val="17"/>
          <w:szCs w:val="17"/>
        </w:rPr>
      </w:pPr>
      <w:r w:rsidDel="00000000" w:rsidR="00000000" w:rsidRPr="00000000">
        <w:rPr>
          <w:rFonts w:ascii="Verdana" w:cs="Verdana" w:eastAsia="Verdana" w:hAnsi="Verdana"/>
          <w:sz w:val="17"/>
          <w:szCs w:val="17"/>
          <w:vertAlign w:val="baseline"/>
          <w:rtl w:val="0"/>
        </w:rPr>
        <w:t xml:space="preserve">Los créditos, cuentas por pagar y anticipos no devengan intereses y no tienen plazo de vencimiento. </w:t>
      </w:r>
    </w:p>
    <w:p w:rsidR="00000000" w:rsidDel="00000000" w:rsidP="00000000" w:rsidRDefault="00000000" w:rsidRPr="00000000" w14:paraId="000000D0">
      <w:pPr>
        <w:numPr>
          <w:ilvl w:val="0"/>
          <w:numId w:val="1"/>
        </w:numPr>
        <w:ind w:left="701" w:firstLine="7.999999999999972"/>
        <w:jc w:val="both"/>
        <w:rPr>
          <w:rFonts w:ascii="Verdana" w:cs="Verdana" w:eastAsia="Verdana" w:hAnsi="Verdana"/>
          <w:sz w:val="17"/>
          <w:szCs w:val="17"/>
        </w:rPr>
      </w:pPr>
      <w:r w:rsidDel="00000000" w:rsidR="00000000" w:rsidRPr="00000000">
        <w:rPr>
          <w:rFonts w:ascii="Verdana" w:cs="Verdana" w:eastAsia="Verdana" w:hAnsi="Verdana"/>
          <w:sz w:val="17"/>
          <w:szCs w:val="17"/>
          <w:vertAlign w:val="baseline"/>
          <w:rtl w:val="0"/>
        </w:rPr>
        <w:t xml:space="preserve">Los otros créditos corrientes no devengan intereses y vencen en el plazo de 6 meses. </w:t>
      </w:r>
    </w:p>
    <w:p w:rsidR="00000000" w:rsidDel="00000000" w:rsidP="00000000" w:rsidRDefault="00000000" w:rsidRPr="00000000" w14:paraId="000000D1">
      <w:pPr>
        <w:numPr>
          <w:ilvl w:val="0"/>
          <w:numId w:val="1"/>
        </w:numPr>
        <w:ind w:left="701" w:firstLine="7.999999999999972"/>
        <w:jc w:val="both"/>
        <w:rPr>
          <w:rFonts w:ascii="Verdana" w:cs="Verdana" w:eastAsia="Verdana" w:hAnsi="Verdana"/>
          <w:sz w:val="17"/>
          <w:szCs w:val="17"/>
        </w:rPr>
      </w:pPr>
      <w:r w:rsidDel="00000000" w:rsidR="00000000" w:rsidRPr="00000000">
        <w:rPr>
          <w:rFonts w:ascii="Verdana" w:cs="Verdana" w:eastAsia="Verdana" w:hAnsi="Verdana"/>
          <w:sz w:val="17"/>
          <w:szCs w:val="17"/>
          <w:vertAlign w:val="baseline"/>
          <w:rtl w:val="0"/>
        </w:rPr>
        <w:t xml:space="preserve">Los otros créditos no corrientes no devengan intereses y vencen en el plazo de 2 años.</w:t>
      </w:r>
    </w:p>
    <w:p w:rsidR="00000000" w:rsidDel="00000000" w:rsidP="00000000" w:rsidRDefault="00000000" w:rsidRPr="00000000" w14:paraId="000000D2">
      <w:pPr>
        <w:ind w:left="701"/>
        <w:jc w:val="both"/>
        <w:rPr>
          <w:rFonts w:ascii="Verdana" w:cs="Verdana" w:eastAsia="Verdana" w:hAnsi="Verdana"/>
          <w:sz w:val="17"/>
          <w:szCs w:val="17"/>
          <w:vertAlign w:val="baseline"/>
        </w:rPr>
      </w:pPr>
      <w:r w:rsidDel="00000000" w:rsidR="00000000" w:rsidRPr="00000000">
        <w:rPr>
          <w:rtl w:val="0"/>
        </w:rPr>
      </w:r>
    </w:p>
    <w:tbl>
      <w:tblPr>
        <w:tblStyle w:val="Table4"/>
        <w:tblW w:w="9454.0" w:type="dxa"/>
        <w:jc w:val="left"/>
        <w:tblInd w:w="355.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5882"/>
        <w:gridCol w:w="352"/>
        <w:gridCol w:w="1349"/>
        <w:gridCol w:w="69"/>
        <w:gridCol w:w="93"/>
        <w:gridCol w:w="8"/>
        <w:gridCol w:w="69"/>
        <w:gridCol w:w="1418"/>
        <w:gridCol w:w="206"/>
        <w:gridCol w:w="8"/>
        <w:tblGridChange w:id="0">
          <w:tblGrid>
            <w:gridCol w:w="5882"/>
            <w:gridCol w:w="352"/>
            <w:gridCol w:w="1349"/>
            <w:gridCol w:w="69"/>
            <w:gridCol w:w="93"/>
            <w:gridCol w:w="8"/>
            <w:gridCol w:w="69"/>
            <w:gridCol w:w="1418"/>
            <w:gridCol w:w="206"/>
            <w:gridCol w:w="8"/>
          </w:tblGrid>
        </w:tblGridChange>
      </w:tblGrid>
      <w:tr>
        <w:tc>
          <w:tcPr>
            <w:vAlign w:val="top"/>
          </w:tcPr>
          <w:p w:rsidR="00000000" w:rsidDel="00000000" w:rsidP="00000000" w:rsidRDefault="00000000" w:rsidRPr="00000000" w14:paraId="000000D3">
            <w:pP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e) Recursos</w:t>
            </w:r>
            <w:r w:rsidDel="00000000" w:rsidR="00000000" w:rsidRPr="00000000">
              <w:rPr>
                <w:rtl w:val="0"/>
              </w:rPr>
            </w:r>
          </w:p>
        </w:tc>
        <w:tc>
          <w:tcPr>
            <w:gridSpan w:val="2"/>
            <w:tcBorders>
              <w:top w:color="000000" w:space="0" w:sz="0" w:val="nil"/>
              <w:bottom w:color="000000" w:space="0" w:sz="0" w:val="nil"/>
            </w:tcBorders>
            <w:vAlign w:val="top"/>
          </w:tcPr>
          <w:p w:rsidR="00000000" w:rsidDel="00000000" w:rsidP="00000000" w:rsidRDefault="00000000" w:rsidRPr="00000000" w14:paraId="000000D4">
            <w:pPr>
              <w:jc w:val="center"/>
              <w:rPr>
                <w:rFonts w:ascii="Verdana" w:cs="Verdana" w:eastAsia="Verdana" w:hAnsi="Verdana"/>
                <w:b w:val="0"/>
                <w:sz w:val="17"/>
                <w:szCs w:val="17"/>
                <w:vertAlign w:val="baseline"/>
              </w:rPr>
            </w:pPr>
            <w:r w:rsidDel="00000000" w:rsidR="00000000" w:rsidRPr="00000000">
              <w:rPr>
                <w:rtl w:val="0"/>
              </w:rPr>
            </w:r>
          </w:p>
        </w:tc>
        <w:tc>
          <w:tcPr>
            <w:gridSpan w:val="2"/>
            <w:tcBorders>
              <w:bottom w:color="000000" w:space="0" w:sz="0" w:val="nil"/>
            </w:tcBorders>
            <w:vAlign w:val="top"/>
          </w:tcPr>
          <w:p w:rsidR="00000000" w:rsidDel="00000000" w:rsidP="00000000" w:rsidRDefault="00000000" w:rsidRPr="00000000" w14:paraId="000000D6">
            <w:pPr>
              <w:jc w:val="center"/>
              <w:rPr>
                <w:rFonts w:ascii="Verdana" w:cs="Verdana" w:eastAsia="Verdana" w:hAnsi="Verdana"/>
                <w:b w:val="0"/>
                <w:sz w:val="17"/>
                <w:szCs w:val="17"/>
                <w:vertAlign w:val="baseline"/>
              </w:rPr>
            </w:pPr>
            <w:r w:rsidDel="00000000" w:rsidR="00000000" w:rsidRPr="00000000">
              <w:rPr>
                <w:rtl w:val="0"/>
              </w:rPr>
            </w:r>
          </w:p>
        </w:tc>
        <w:tc>
          <w:tcPr>
            <w:gridSpan w:val="5"/>
            <w:tcBorders>
              <w:bottom w:color="000000" w:space="0" w:sz="0" w:val="nil"/>
            </w:tcBorders>
            <w:vAlign w:val="top"/>
          </w:tcPr>
          <w:p w:rsidR="00000000" w:rsidDel="00000000" w:rsidP="00000000" w:rsidRDefault="00000000" w:rsidRPr="00000000" w14:paraId="000000D8">
            <w:pPr>
              <w:jc w:val="center"/>
              <w:rPr>
                <w:rFonts w:ascii="Verdana" w:cs="Verdana" w:eastAsia="Verdana" w:hAnsi="Verdana"/>
                <w:b w:val="0"/>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0DD">
            <w:pPr>
              <w:ind w:firstLine="355"/>
              <w:rPr>
                <w:rFonts w:ascii="Verdana" w:cs="Verdana" w:eastAsia="Verdana" w:hAnsi="Verdana"/>
                <w:sz w:val="17"/>
                <w:szCs w:val="17"/>
                <w:vertAlign w:val="baseline"/>
              </w:rPr>
            </w:pPr>
            <w:r w:rsidDel="00000000" w:rsidR="00000000" w:rsidRPr="00000000">
              <w:rPr>
                <w:rtl w:val="0"/>
              </w:rPr>
            </w:r>
          </w:p>
        </w:tc>
        <w:tc>
          <w:tcPr>
            <w:gridSpan w:val="2"/>
            <w:tcBorders>
              <w:top w:color="000000" w:space="0" w:sz="0" w:val="nil"/>
            </w:tcBorders>
            <w:vAlign w:val="top"/>
          </w:tcPr>
          <w:p w:rsidR="00000000" w:rsidDel="00000000" w:rsidP="00000000" w:rsidRDefault="00000000" w:rsidRPr="00000000" w14:paraId="000000DE">
            <w:pPr>
              <w:ind w:firstLine="355"/>
              <w:rPr>
                <w:rFonts w:ascii="Verdana" w:cs="Verdana" w:eastAsia="Verdana" w:hAnsi="Verdana"/>
                <w:color w:val="ff0000"/>
                <w:sz w:val="17"/>
                <w:szCs w:val="17"/>
                <w:vertAlign w:val="baseline"/>
              </w:rPr>
            </w:pPr>
            <w:r w:rsidDel="00000000" w:rsidR="00000000" w:rsidRPr="00000000">
              <w:rPr>
                <w:rtl w:val="0"/>
              </w:rPr>
            </w:r>
          </w:p>
        </w:tc>
        <w:tc>
          <w:tcPr>
            <w:gridSpan w:val="2"/>
            <w:tcBorders>
              <w:top w:color="000000" w:space="0" w:sz="0" w:val="nil"/>
            </w:tcBorders>
            <w:vAlign w:val="top"/>
          </w:tcPr>
          <w:p w:rsidR="00000000" w:rsidDel="00000000" w:rsidP="00000000" w:rsidRDefault="00000000" w:rsidRPr="00000000" w14:paraId="000000E0">
            <w:pPr>
              <w:ind w:firstLine="355"/>
              <w:rPr>
                <w:rFonts w:ascii="Verdana" w:cs="Verdana" w:eastAsia="Verdana" w:hAnsi="Verdana"/>
                <w:sz w:val="17"/>
                <w:szCs w:val="17"/>
                <w:vertAlign w:val="baseline"/>
              </w:rPr>
            </w:pPr>
            <w:r w:rsidDel="00000000" w:rsidR="00000000" w:rsidRPr="00000000">
              <w:rPr>
                <w:rtl w:val="0"/>
              </w:rPr>
            </w:r>
          </w:p>
        </w:tc>
        <w:tc>
          <w:tcPr>
            <w:gridSpan w:val="5"/>
            <w:tcBorders>
              <w:top w:color="000000" w:space="0" w:sz="0" w:val="nil"/>
            </w:tcBorders>
            <w:vAlign w:val="top"/>
          </w:tcPr>
          <w:p w:rsidR="00000000" w:rsidDel="00000000" w:rsidP="00000000" w:rsidRDefault="00000000" w:rsidRPr="00000000" w14:paraId="000000E2">
            <w:pPr>
              <w:ind w:firstLine="355"/>
              <w:rPr>
                <w:rFonts w:ascii="Verdana" w:cs="Verdana" w:eastAsia="Verdana" w:hAnsi="Verdana"/>
                <w:sz w:val="17"/>
                <w:szCs w:val="17"/>
                <w:vertAlign w:val="baseline"/>
              </w:rPr>
            </w:pPr>
            <w:r w:rsidDel="00000000" w:rsidR="00000000" w:rsidRPr="00000000">
              <w:rPr>
                <w:rtl w:val="0"/>
              </w:rPr>
            </w:r>
          </w:p>
        </w:tc>
      </w:tr>
      <w:tr>
        <w:tc>
          <w:tcPr>
            <w:vAlign w:val="top"/>
          </w:tcPr>
          <w:p w:rsidR="00000000" w:rsidDel="00000000" w:rsidP="00000000" w:rsidRDefault="00000000" w:rsidRPr="00000000" w14:paraId="000000E7">
            <w:pPr>
              <w:ind w:left="357"/>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Recursos presupuestarios </w:t>
            </w:r>
          </w:p>
        </w:tc>
        <w:tc>
          <w:tcPr>
            <w:gridSpan w:val="2"/>
            <w:tcBorders>
              <w:bottom w:color="000000" w:space="0" w:sz="4" w:val="single"/>
            </w:tcBorders>
            <w:vAlign w:val="top"/>
          </w:tcPr>
          <w:p w:rsidR="00000000" w:rsidDel="00000000" w:rsidP="00000000" w:rsidRDefault="00000000" w:rsidRPr="00000000" w14:paraId="000000E8">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1.350.683</w:t>
            </w:r>
          </w:p>
        </w:tc>
        <w:tc>
          <w:tcPr>
            <w:gridSpan w:val="2"/>
            <w:vAlign w:val="top"/>
          </w:tcPr>
          <w:p w:rsidR="00000000" w:rsidDel="00000000" w:rsidP="00000000" w:rsidRDefault="00000000" w:rsidRPr="00000000" w14:paraId="000000EA">
            <w:pPr>
              <w:jc w:val="right"/>
              <w:rPr>
                <w:rFonts w:ascii="Verdana" w:cs="Verdana" w:eastAsia="Verdana" w:hAnsi="Verdana"/>
                <w:sz w:val="17"/>
                <w:szCs w:val="17"/>
                <w:vertAlign w:val="baseline"/>
              </w:rPr>
            </w:pPr>
            <w:r w:rsidDel="00000000" w:rsidR="00000000" w:rsidRPr="00000000">
              <w:rPr>
                <w:rtl w:val="0"/>
              </w:rPr>
            </w:r>
          </w:p>
        </w:tc>
        <w:tc>
          <w:tcPr>
            <w:gridSpan w:val="5"/>
            <w:tcBorders>
              <w:bottom w:color="000000" w:space="0" w:sz="0" w:val="nil"/>
            </w:tcBorders>
            <w:vAlign w:val="top"/>
          </w:tcPr>
          <w:p w:rsidR="00000000" w:rsidDel="00000000" w:rsidP="00000000" w:rsidRDefault="00000000" w:rsidRPr="00000000" w14:paraId="000000EC">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1.340.240</w:t>
            </w:r>
          </w:p>
        </w:tc>
      </w:tr>
      <w:tr>
        <w:trPr>
          <w:trHeight w:val="200" w:hRule="atLeast"/>
        </w:trPr>
        <w:tc>
          <w:tcPr>
            <w:tcBorders>
              <w:top w:color="000000" w:space="0" w:sz="0" w:val="nil"/>
              <w:bottom w:color="000000" w:space="0" w:sz="0" w:val="nil"/>
            </w:tcBorders>
            <w:vAlign w:val="top"/>
          </w:tcPr>
          <w:p w:rsidR="00000000" w:rsidDel="00000000" w:rsidP="00000000" w:rsidRDefault="00000000" w:rsidRPr="00000000" w14:paraId="000000F1">
            <w:pPr>
              <w:rPr>
                <w:rFonts w:ascii="Verdana" w:cs="Verdana" w:eastAsia="Verdana" w:hAnsi="Verdana"/>
                <w:b w:val="0"/>
                <w:sz w:val="17"/>
                <w:szCs w:val="17"/>
                <w:vertAlign w:val="baseline"/>
              </w:rPr>
            </w:pPr>
            <w:r w:rsidDel="00000000" w:rsidR="00000000" w:rsidRPr="00000000">
              <w:rPr>
                <w:rtl w:val="0"/>
              </w:rPr>
            </w:r>
          </w:p>
        </w:tc>
        <w:tc>
          <w:tcPr>
            <w:gridSpan w:val="2"/>
            <w:tcBorders>
              <w:top w:color="000000" w:space="0" w:sz="4" w:val="single"/>
              <w:bottom w:color="000000" w:space="0" w:sz="4" w:val="single"/>
            </w:tcBorders>
            <w:vAlign w:val="top"/>
          </w:tcPr>
          <w:p w:rsidR="00000000" w:rsidDel="00000000" w:rsidP="00000000" w:rsidRDefault="00000000" w:rsidRPr="00000000" w14:paraId="000000F2">
            <w:pPr>
              <w:jc w:val="right"/>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1.350.683</w:t>
            </w:r>
            <w:r w:rsidDel="00000000" w:rsidR="00000000" w:rsidRPr="00000000">
              <w:rPr>
                <w:rtl w:val="0"/>
              </w:rPr>
            </w:r>
          </w:p>
        </w:tc>
        <w:tc>
          <w:tcPr>
            <w:gridSpan w:val="3"/>
            <w:tcBorders>
              <w:top w:color="000000" w:space="0" w:sz="0" w:val="nil"/>
              <w:bottom w:color="000000" w:space="0" w:sz="0" w:val="nil"/>
            </w:tcBorders>
            <w:vAlign w:val="top"/>
          </w:tcPr>
          <w:p w:rsidR="00000000" w:rsidDel="00000000" w:rsidP="00000000" w:rsidRDefault="00000000" w:rsidRPr="00000000" w14:paraId="000000F4">
            <w:pPr>
              <w:jc w:val="right"/>
              <w:rPr>
                <w:rFonts w:ascii="Verdana" w:cs="Verdana" w:eastAsia="Verdana" w:hAnsi="Verdana"/>
                <w:sz w:val="17"/>
                <w:szCs w:val="17"/>
                <w:vertAlign w:val="baseline"/>
              </w:rPr>
            </w:pPr>
            <w:r w:rsidDel="00000000" w:rsidR="00000000" w:rsidRPr="00000000">
              <w:rPr>
                <w:rtl w:val="0"/>
              </w:rPr>
            </w:r>
          </w:p>
        </w:tc>
        <w:tc>
          <w:tcPr>
            <w:gridSpan w:val="4"/>
            <w:tcBorders>
              <w:top w:color="000000" w:space="0" w:sz="4" w:val="single"/>
              <w:bottom w:color="000000" w:space="0" w:sz="4" w:val="single"/>
            </w:tcBorders>
            <w:vAlign w:val="top"/>
          </w:tcPr>
          <w:p w:rsidR="00000000" w:rsidDel="00000000" w:rsidP="00000000" w:rsidRDefault="00000000" w:rsidRPr="00000000" w14:paraId="000000F7">
            <w:pPr>
              <w:jc w:val="right"/>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1.340.240</w:t>
            </w:r>
            <w:r w:rsidDel="00000000" w:rsidR="00000000" w:rsidRPr="00000000">
              <w:rPr>
                <w:rtl w:val="0"/>
              </w:rPr>
            </w:r>
          </w:p>
        </w:tc>
      </w:tr>
      <w:tr>
        <w:tc>
          <w:tcPr>
            <w:gridSpan w:val="2"/>
            <w:tcBorders>
              <w:top w:color="000000" w:space="0" w:sz="0" w:val="nil"/>
              <w:bottom w:color="000000" w:space="0" w:sz="0" w:val="nil"/>
            </w:tcBorders>
            <w:vAlign w:val="top"/>
          </w:tcPr>
          <w:p w:rsidR="00000000" w:rsidDel="00000000" w:rsidP="00000000" w:rsidRDefault="00000000" w:rsidRPr="00000000" w14:paraId="000000FB">
            <w:pPr>
              <w:rPr>
                <w:rFonts w:ascii="Verdana" w:cs="Verdana" w:eastAsia="Verdana" w:hAnsi="Verdana"/>
                <w:b w:val="0"/>
                <w:sz w:val="17"/>
                <w:szCs w:val="17"/>
                <w:vertAlign w:val="baseline"/>
              </w:rPr>
            </w:pPr>
            <w:r w:rsidDel="00000000" w:rsidR="00000000" w:rsidRPr="00000000">
              <w:rPr>
                <w:rtl w:val="0"/>
              </w:rPr>
            </w:r>
          </w:p>
        </w:tc>
        <w:tc>
          <w:tcPr>
            <w:gridSpan w:val="2"/>
            <w:tcBorders>
              <w:top w:color="000000" w:space="0" w:sz="0" w:val="nil"/>
              <w:bottom w:color="000000" w:space="0" w:sz="0" w:val="nil"/>
            </w:tcBorders>
            <w:vAlign w:val="top"/>
          </w:tcPr>
          <w:p w:rsidR="00000000" w:rsidDel="00000000" w:rsidP="00000000" w:rsidRDefault="00000000" w:rsidRPr="00000000" w14:paraId="000000FD">
            <w:pPr>
              <w:jc w:val="right"/>
              <w:rPr>
                <w:rFonts w:ascii="Verdana" w:cs="Verdana" w:eastAsia="Verdana" w:hAnsi="Verdana"/>
                <w:b w:val="0"/>
                <w:sz w:val="17"/>
                <w:szCs w:val="17"/>
                <w:vertAlign w:val="baseline"/>
              </w:rPr>
            </w:pPr>
            <w:r w:rsidDel="00000000" w:rsidR="00000000" w:rsidRPr="00000000">
              <w:rPr>
                <w:rtl w:val="0"/>
              </w:rPr>
            </w:r>
          </w:p>
        </w:tc>
        <w:tc>
          <w:tcPr>
            <w:gridSpan w:val="3"/>
            <w:tcBorders>
              <w:top w:color="000000" w:space="0" w:sz="0" w:val="nil"/>
              <w:bottom w:color="000000" w:space="0" w:sz="0" w:val="nil"/>
            </w:tcBorders>
            <w:vAlign w:val="top"/>
          </w:tcPr>
          <w:p w:rsidR="00000000" w:rsidDel="00000000" w:rsidP="00000000" w:rsidRDefault="00000000" w:rsidRPr="00000000" w14:paraId="000000FF">
            <w:pPr>
              <w:jc w:val="right"/>
              <w:rPr>
                <w:rFonts w:ascii="Verdana" w:cs="Verdana" w:eastAsia="Verdana" w:hAnsi="Verdana"/>
                <w:sz w:val="17"/>
                <w:szCs w:val="17"/>
                <w:vertAlign w:val="baseline"/>
              </w:rPr>
            </w:pPr>
            <w:r w:rsidDel="00000000" w:rsidR="00000000" w:rsidRPr="00000000">
              <w:rPr>
                <w:rtl w:val="0"/>
              </w:rPr>
            </w:r>
          </w:p>
        </w:tc>
        <w:tc>
          <w:tcPr>
            <w:gridSpan w:val="3"/>
            <w:tcBorders>
              <w:top w:color="000000" w:space="0" w:sz="0" w:val="nil"/>
              <w:bottom w:color="000000" w:space="0" w:sz="0" w:val="nil"/>
            </w:tcBorders>
            <w:vAlign w:val="top"/>
          </w:tcPr>
          <w:p w:rsidR="00000000" w:rsidDel="00000000" w:rsidP="00000000" w:rsidRDefault="00000000" w:rsidRPr="00000000" w14:paraId="00000102">
            <w:pPr>
              <w:jc w:val="right"/>
              <w:rPr>
                <w:rFonts w:ascii="Verdana" w:cs="Verdana" w:eastAsia="Verdana" w:hAnsi="Verdana"/>
                <w:b w:val="0"/>
                <w:sz w:val="17"/>
                <w:szCs w:val="17"/>
                <w:vertAlign w:val="baseline"/>
              </w:rPr>
            </w:pPr>
            <w:r w:rsidDel="00000000" w:rsidR="00000000" w:rsidRPr="00000000">
              <w:rPr>
                <w:rtl w:val="0"/>
              </w:rPr>
            </w:r>
          </w:p>
        </w:tc>
      </w:tr>
      <w:tr>
        <w:tc>
          <w:tcPr>
            <w:tcBorders>
              <w:top w:color="000000" w:space="0" w:sz="0" w:val="nil"/>
              <w:bottom w:color="000000" w:space="0" w:sz="0" w:val="nil"/>
            </w:tcBorders>
            <w:vAlign w:val="top"/>
          </w:tcPr>
          <w:p w:rsidR="00000000" w:rsidDel="00000000" w:rsidP="00000000" w:rsidRDefault="00000000" w:rsidRPr="00000000" w14:paraId="00000105">
            <w:pP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f) Gastos</w:t>
            </w:r>
            <w:r w:rsidDel="00000000" w:rsidR="00000000" w:rsidRPr="00000000">
              <w:rPr>
                <w:rtl w:val="0"/>
              </w:rPr>
            </w:r>
          </w:p>
        </w:tc>
        <w:tc>
          <w:tcPr>
            <w:gridSpan w:val="2"/>
            <w:tcBorders>
              <w:top w:color="000000" w:space="0" w:sz="0" w:val="nil"/>
              <w:bottom w:color="000000" w:space="0" w:sz="0" w:val="nil"/>
            </w:tcBorders>
            <w:vAlign w:val="top"/>
          </w:tcPr>
          <w:p w:rsidR="00000000" w:rsidDel="00000000" w:rsidP="00000000" w:rsidRDefault="00000000" w:rsidRPr="00000000" w14:paraId="00000106">
            <w:pPr>
              <w:jc w:val="right"/>
              <w:rPr>
                <w:rFonts w:ascii="Verdana" w:cs="Verdana" w:eastAsia="Verdana" w:hAnsi="Verdana"/>
                <w:sz w:val="17"/>
                <w:szCs w:val="17"/>
                <w:vertAlign w:val="baseline"/>
              </w:rPr>
            </w:pPr>
            <w:r w:rsidDel="00000000" w:rsidR="00000000" w:rsidRPr="00000000">
              <w:rPr>
                <w:rtl w:val="0"/>
              </w:rPr>
            </w:r>
          </w:p>
        </w:tc>
        <w:tc>
          <w:tcPr>
            <w:gridSpan w:val="3"/>
            <w:tcBorders>
              <w:top w:color="000000" w:space="0" w:sz="0" w:val="nil"/>
              <w:bottom w:color="000000" w:space="0" w:sz="0" w:val="nil"/>
            </w:tcBorders>
            <w:vAlign w:val="top"/>
          </w:tcPr>
          <w:p w:rsidR="00000000" w:rsidDel="00000000" w:rsidP="00000000" w:rsidRDefault="00000000" w:rsidRPr="00000000" w14:paraId="00000108">
            <w:pPr>
              <w:jc w:val="right"/>
              <w:rPr>
                <w:rFonts w:ascii="Verdana" w:cs="Verdana" w:eastAsia="Verdana" w:hAnsi="Verdana"/>
                <w:sz w:val="17"/>
                <w:szCs w:val="17"/>
                <w:vertAlign w:val="baseline"/>
              </w:rPr>
            </w:pPr>
            <w:r w:rsidDel="00000000" w:rsidR="00000000" w:rsidRPr="00000000">
              <w:rPr>
                <w:rtl w:val="0"/>
              </w:rPr>
            </w:r>
          </w:p>
        </w:tc>
        <w:tc>
          <w:tcPr>
            <w:gridSpan w:val="4"/>
            <w:tcBorders>
              <w:top w:color="000000" w:space="0" w:sz="0" w:val="nil"/>
              <w:bottom w:color="000000" w:space="0" w:sz="0" w:val="nil"/>
            </w:tcBorders>
            <w:vAlign w:val="top"/>
          </w:tcPr>
          <w:p w:rsidR="00000000" w:rsidDel="00000000" w:rsidP="00000000" w:rsidRDefault="00000000" w:rsidRPr="00000000" w14:paraId="0000010B">
            <w:pPr>
              <w:jc w:val="right"/>
              <w:rPr>
                <w:rFonts w:ascii="Verdana" w:cs="Verdana" w:eastAsia="Verdana" w:hAnsi="Verdana"/>
                <w:sz w:val="17"/>
                <w:szCs w:val="17"/>
                <w:vertAlign w:val="baseline"/>
              </w:rPr>
            </w:pPr>
            <w:r w:rsidDel="00000000" w:rsidR="00000000" w:rsidRPr="00000000">
              <w:rPr>
                <w:rtl w:val="0"/>
              </w:rPr>
            </w:r>
          </w:p>
        </w:tc>
      </w:tr>
      <w:tr>
        <w:tc>
          <w:tcPr>
            <w:tcBorders>
              <w:top w:color="000000" w:space="0" w:sz="0" w:val="nil"/>
            </w:tcBorders>
            <w:vAlign w:val="top"/>
          </w:tcPr>
          <w:p w:rsidR="00000000" w:rsidDel="00000000" w:rsidP="00000000" w:rsidRDefault="00000000" w:rsidRPr="00000000" w14:paraId="0000010F">
            <w:pPr>
              <w:rPr>
                <w:rFonts w:ascii="Verdana" w:cs="Verdana" w:eastAsia="Verdana" w:hAnsi="Verdana"/>
                <w:sz w:val="17"/>
                <w:szCs w:val="17"/>
                <w:vertAlign w:val="baseline"/>
              </w:rPr>
            </w:pPr>
            <w:r w:rsidDel="00000000" w:rsidR="00000000" w:rsidRPr="00000000">
              <w:rPr>
                <w:rtl w:val="0"/>
              </w:rPr>
            </w:r>
          </w:p>
        </w:tc>
        <w:tc>
          <w:tcPr>
            <w:gridSpan w:val="2"/>
            <w:tcBorders>
              <w:top w:color="000000" w:space="0" w:sz="0" w:val="nil"/>
            </w:tcBorders>
            <w:vAlign w:val="top"/>
          </w:tcPr>
          <w:p w:rsidR="00000000" w:rsidDel="00000000" w:rsidP="00000000" w:rsidRDefault="00000000" w:rsidRPr="00000000" w14:paraId="00000110">
            <w:pPr>
              <w:jc w:val="right"/>
              <w:rPr>
                <w:rFonts w:ascii="Verdana" w:cs="Verdana" w:eastAsia="Verdana" w:hAnsi="Verdana"/>
                <w:sz w:val="17"/>
                <w:szCs w:val="17"/>
                <w:vertAlign w:val="baseline"/>
              </w:rPr>
            </w:pPr>
            <w:r w:rsidDel="00000000" w:rsidR="00000000" w:rsidRPr="00000000">
              <w:rPr>
                <w:rtl w:val="0"/>
              </w:rPr>
            </w:r>
          </w:p>
        </w:tc>
        <w:tc>
          <w:tcPr>
            <w:gridSpan w:val="3"/>
            <w:tcBorders>
              <w:top w:color="000000" w:space="0" w:sz="0" w:val="nil"/>
              <w:bottom w:color="000000" w:space="0" w:sz="0" w:val="nil"/>
            </w:tcBorders>
            <w:vAlign w:val="top"/>
          </w:tcPr>
          <w:p w:rsidR="00000000" w:rsidDel="00000000" w:rsidP="00000000" w:rsidRDefault="00000000" w:rsidRPr="00000000" w14:paraId="00000112">
            <w:pPr>
              <w:jc w:val="right"/>
              <w:rPr>
                <w:rFonts w:ascii="Verdana" w:cs="Verdana" w:eastAsia="Verdana" w:hAnsi="Verdana"/>
                <w:sz w:val="17"/>
                <w:szCs w:val="17"/>
                <w:vertAlign w:val="baseline"/>
              </w:rPr>
            </w:pPr>
            <w:r w:rsidDel="00000000" w:rsidR="00000000" w:rsidRPr="00000000">
              <w:rPr>
                <w:rtl w:val="0"/>
              </w:rPr>
            </w:r>
          </w:p>
        </w:tc>
        <w:tc>
          <w:tcPr>
            <w:gridSpan w:val="4"/>
            <w:tcBorders>
              <w:top w:color="000000" w:space="0" w:sz="0" w:val="nil"/>
            </w:tcBorders>
            <w:vAlign w:val="top"/>
          </w:tcPr>
          <w:p w:rsidR="00000000" w:rsidDel="00000000" w:rsidP="00000000" w:rsidRDefault="00000000" w:rsidRPr="00000000" w14:paraId="00000115">
            <w:pPr>
              <w:jc w:val="right"/>
              <w:rPr>
                <w:rFonts w:ascii="Verdana" w:cs="Verdana" w:eastAsia="Verdana" w:hAnsi="Verdana"/>
                <w:sz w:val="17"/>
                <w:szCs w:val="17"/>
                <w:vertAlign w:val="baseline"/>
              </w:rPr>
            </w:pPr>
            <w:r w:rsidDel="00000000" w:rsidR="00000000" w:rsidRPr="00000000">
              <w:rPr>
                <w:rtl w:val="0"/>
              </w:rPr>
            </w:r>
          </w:p>
        </w:tc>
      </w:tr>
      <w:tr>
        <w:tc>
          <w:tcPr>
            <w:tcBorders>
              <w:bottom w:color="000000" w:space="0" w:sz="0" w:val="nil"/>
            </w:tcBorders>
            <w:vAlign w:val="top"/>
          </w:tcPr>
          <w:p w:rsidR="00000000" w:rsidDel="00000000" w:rsidP="00000000" w:rsidRDefault="00000000" w:rsidRPr="00000000" w14:paraId="00000119">
            <w:pPr>
              <w:ind w:left="357"/>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Honorarios por servicios</w:t>
            </w:r>
          </w:p>
        </w:tc>
        <w:tc>
          <w:tcPr>
            <w:gridSpan w:val="2"/>
            <w:tcBorders>
              <w:bottom w:color="000000" w:space="0" w:sz="0" w:val="nil"/>
            </w:tcBorders>
            <w:vAlign w:val="top"/>
          </w:tcPr>
          <w:p w:rsidR="00000000" w:rsidDel="00000000" w:rsidP="00000000" w:rsidRDefault="00000000" w:rsidRPr="00000000" w14:paraId="0000011A">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585.216</w:t>
            </w:r>
          </w:p>
        </w:tc>
        <w:tc>
          <w:tcPr>
            <w:gridSpan w:val="3"/>
            <w:tcBorders>
              <w:bottom w:color="000000" w:space="0" w:sz="0" w:val="nil"/>
            </w:tcBorders>
            <w:vAlign w:val="top"/>
          </w:tcPr>
          <w:p w:rsidR="00000000" w:rsidDel="00000000" w:rsidP="00000000" w:rsidRDefault="00000000" w:rsidRPr="00000000" w14:paraId="0000011C">
            <w:pPr>
              <w:jc w:val="right"/>
              <w:rPr>
                <w:rFonts w:ascii="Verdana" w:cs="Verdana" w:eastAsia="Verdana" w:hAnsi="Verdana"/>
                <w:sz w:val="17"/>
                <w:szCs w:val="17"/>
                <w:vertAlign w:val="baseline"/>
              </w:rPr>
            </w:pPr>
            <w:r w:rsidDel="00000000" w:rsidR="00000000" w:rsidRPr="00000000">
              <w:rPr>
                <w:rtl w:val="0"/>
              </w:rPr>
            </w:r>
          </w:p>
        </w:tc>
        <w:tc>
          <w:tcPr>
            <w:gridSpan w:val="4"/>
            <w:tcBorders>
              <w:bottom w:color="000000" w:space="0" w:sz="0" w:val="nil"/>
            </w:tcBorders>
            <w:vAlign w:val="top"/>
          </w:tcPr>
          <w:p w:rsidR="00000000" w:rsidDel="00000000" w:rsidP="00000000" w:rsidRDefault="00000000" w:rsidRPr="00000000" w14:paraId="0000011F">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562.115</w:t>
            </w:r>
          </w:p>
        </w:tc>
      </w:tr>
      <w:tr>
        <w:tc>
          <w:tcPr>
            <w:tcBorders>
              <w:bottom w:color="000000" w:space="0" w:sz="0" w:val="nil"/>
            </w:tcBorders>
            <w:vAlign w:val="top"/>
          </w:tcPr>
          <w:p w:rsidR="00000000" w:rsidDel="00000000" w:rsidP="00000000" w:rsidRDefault="00000000" w:rsidRPr="00000000" w14:paraId="00000123">
            <w:pPr>
              <w:ind w:left="357"/>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Quebrantos por recursos presupuestarios incobrables</w:t>
            </w:r>
          </w:p>
        </w:tc>
        <w:tc>
          <w:tcPr>
            <w:gridSpan w:val="2"/>
            <w:tcBorders>
              <w:top w:color="000000" w:space="0" w:sz="0" w:val="nil"/>
              <w:bottom w:color="000000" w:space="0" w:sz="0" w:val="nil"/>
            </w:tcBorders>
            <w:vAlign w:val="top"/>
          </w:tcPr>
          <w:p w:rsidR="00000000" w:rsidDel="00000000" w:rsidP="00000000" w:rsidRDefault="00000000" w:rsidRPr="00000000" w14:paraId="00000124">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55.729</w:t>
            </w:r>
          </w:p>
        </w:tc>
        <w:tc>
          <w:tcPr>
            <w:gridSpan w:val="3"/>
            <w:tcBorders>
              <w:top w:color="000000" w:space="0" w:sz="0" w:val="nil"/>
              <w:bottom w:color="000000" w:space="0" w:sz="0" w:val="nil"/>
            </w:tcBorders>
            <w:vAlign w:val="top"/>
          </w:tcPr>
          <w:p w:rsidR="00000000" w:rsidDel="00000000" w:rsidP="00000000" w:rsidRDefault="00000000" w:rsidRPr="00000000" w14:paraId="00000126">
            <w:pPr>
              <w:jc w:val="right"/>
              <w:rPr>
                <w:rFonts w:ascii="Verdana" w:cs="Verdana" w:eastAsia="Verdana" w:hAnsi="Verdana"/>
                <w:sz w:val="17"/>
                <w:szCs w:val="17"/>
                <w:vertAlign w:val="baseline"/>
              </w:rPr>
            </w:pPr>
            <w:r w:rsidDel="00000000" w:rsidR="00000000" w:rsidRPr="00000000">
              <w:rPr>
                <w:rtl w:val="0"/>
              </w:rPr>
            </w:r>
          </w:p>
        </w:tc>
        <w:tc>
          <w:tcPr>
            <w:gridSpan w:val="4"/>
            <w:tcBorders>
              <w:top w:color="000000" w:space="0" w:sz="0" w:val="nil"/>
              <w:bottom w:color="000000" w:space="0" w:sz="0" w:val="nil"/>
            </w:tcBorders>
            <w:vAlign w:val="top"/>
          </w:tcPr>
          <w:p w:rsidR="00000000" w:rsidDel="00000000" w:rsidP="00000000" w:rsidRDefault="00000000" w:rsidRPr="00000000" w14:paraId="00000129">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137.161</w:t>
            </w:r>
          </w:p>
        </w:tc>
      </w:tr>
      <w:tr>
        <w:tc>
          <w:tcPr>
            <w:tcBorders>
              <w:bottom w:color="000000" w:space="0" w:sz="0" w:val="nil"/>
            </w:tcBorders>
            <w:vAlign w:val="top"/>
          </w:tcPr>
          <w:p w:rsidR="00000000" w:rsidDel="00000000" w:rsidP="00000000" w:rsidRDefault="00000000" w:rsidRPr="00000000" w14:paraId="0000012D">
            <w:pPr>
              <w:ind w:left="357"/>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Viáticos y refrigerios</w:t>
            </w:r>
          </w:p>
        </w:tc>
        <w:tc>
          <w:tcPr>
            <w:gridSpan w:val="2"/>
            <w:tcBorders>
              <w:top w:color="000000" w:space="0" w:sz="0" w:val="nil"/>
              <w:bottom w:color="000000" w:space="0" w:sz="0" w:val="nil"/>
            </w:tcBorders>
            <w:vAlign w:val="top"/>
          </w:tcPr>
          <w:p w:rsidR="00000000" w:rsidDel="00000000" w:rsidP="00000000" w:rsidRDefault="00000000" w:rsidRPr="00000000" w14:paraId="0000012E">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478.278</w:t>
            </w:r>
          </w:p>
        </w:tc>
        <w:tc>
          <w:tcPr>
            <w:gridSpan w:val="3"/>
            <w:tcBorders>
              <w:top w:color="000000" w:space="0" w:sz="0" w:val="nil"/>
              <w:bottom w:color="000000" w:space="0" w:sz="0" w:val="nil"/>
            </w:tcBorders>
            <w:vAlign w:val="top"/>
          </w:tcPr>
          <w:p w:rsidR="00000000" w:rsidDel="00000000" w:rsidP="00000000" w:rsidRDefault="00000000" w:rsidRPr="00000000" w14:paraId="00000130">
            <w:pPr>
              <w:jc w:val="right"/>
              <w:rPr>
                <w:rFonts w:ascii="Verdana" w:cs="Verdana" w:eastAsia="Verdana" w:hAnsi="Verdana"/>
                <w:sz w:val="17"/>
                <w:szCs w:val="17"/>
                <w:vertAlign w:val="baseline"/>
              </w:rPr>
            </w:pPr>
            <w:r w:rsidDel="00000000" w:rsidR="00000000" w:rsidRPr="00000000">
              <w:rPr>
                <w:rtl w:val="0"/>
              </w:rPr>
            </w:r>
          </w:p>
        </w:tc>
        <w:tc>
          <w:tcPr>
            <w:gridSpan w:val="4"/>
            <w:tcBorders>
              <w:top w:color="000000" w:space="0" w:sz="0" w:val="nil"/>
              <w:bottom w:color="000000" w:space="0" w:sz="0" w:val="nil"/>
            </w:tcBorders>
            <w:vAlign w:val="top"/>
          </w:tcPr>
          <w:p w:rsidR="00000000" w:rsidDel="00000000" w:rsidP="00000000" w:rsidRDefault="00000000" w:rsidRPr="00000000" w14:paraId="00000133">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242.559</w:t>
            </w:r>
          </w:p>
        </w:tc>
      </w:tr>
      <w:tr>
        <w:tc>
          <w:tcPr>
            <w:tcBorders>
              <w:bottom w:color="000000" w:space="0" w:sz="0" w:val="nil"/>
            </w:tcBorders>
            <w:vAlign w:val="top"/>
          </w:tcPr>
          <w:p w:rsidR="00000000" w:rsidDel="00000000" w:rsidP="00000000" w:rsidRDefault="00000000" w:rsidRPr="00000000" w14:paraId="00000137">
            <w:pPr>
              <w:ind w:left="357"/>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Correo y mensajería</w:t>
            </w:r>
          </w:p>
        </w:tc>
        <w:tc>
          <w:tcPr>
            <w:gridSpan w:val="2"/>
            <w:tcBorders>
              <w:top w:color="000000" w:space="0" w:sz="0" w:val="nil"/>
              <w:bottom w:color="000000" w:space="0" w:sz="0" w:val="nil"/>
            </w:tcBorders>
            <w:vAlign w:val="top"/>
          </w:tcPr>
          <w:p w:rsidR="00000000" w:rsidDel="00000000" w:rsidP="00000000" w:rsidRDefault="00000000" w:rsidRPr="00000000" w14:paraId="00000138">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21.502</w:t>
            </w:r>
          </w:p>
        </w:tc>
        <w:tc>
          <w:tcPr>
            <w:gridSpan w:val="3"/>
            <w:tcBorders>
              <w:top w:color="000000" w:space="0" w:sz="0" w:val="nil"/>
              <w:bottom w:color="000000" w:space="0" w:sz="0" w:val="nil"/>
            </w:tcBorders>
            <w:vAlign w:val="top"/>
          </w:tcPr>
          <w:p w:rsidR="00000000" w:rsidDel="00000000" w:rsidP="00000000" w:rsidRDefault="00000000" w:rsidRPr="00000000" w14:paraId="0000013A">
            <w:pPr>
              <w:jc w:val="right"/>
              <w:rPr>
                <w:rFonts w:ascii="Verdana" w:cs="Verdana" w:eastAsia="Verdana" w:hAnsi="Verdana"/>
                <w:sz w:val="17"/>
                <w:szCs w:val="17"/>
                <w:vertAlign w:val="baseline"/>
              </w:rPr>
            </w:pPr>
            <w:r w:rsidDel="00000000" w:rsidR="00000000" w:rsidRPr="00000000">
              <w:rPr>
                <w:rtl w:val="0"/>
              </w:rPr>
            </w:r>
          </w:p>
        </w:tc>
        <w:tc>
          <w:tcPr>
            <w:gridSpan w:val="4"/>
            <w:tcBorders>
              <w:top w:color="000000" w:space="0" w:sz="0" w:val="nil"/>
              <w:bottom w:color="000000" w:space="0" w:sz="0" w:val="nil"/>
            </w:tcBorders>
            <w:vAlign w:val="top"/>
          </w:tcPr>
          <w:p w:rsidR="00000000" w:rsidDel="00000000" w:rsidP="00000000" w:rsidRDefault="00000000" w:rsidRPr="00000000" w14:paraId="0000013D">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7.074</w:t>
            </w:r>
          </w:p>
        </w:tc>
      </w:tr>
      <w:tr>
        <w:tc>
          <w:tcPr>
            <w:tcBorders>
              <w:bottom w:color="000000" w:space="0" w:sz="0" w:val="nil"/>
            </w:tcBorders>
            <w:vAlign w:val="top"/>
          </w:tcPr>
          <w:p w:rsidR="00000000" w:rsidDel="00000000" w:rsidP="00000000" w:rsidRDefault="00000000" w:rsidRPr="00000000" w14:paraId="00000141">
            <w:pPr>
              <w:ind w:left="357"/>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Gastos de limpieza</w:t>
            </w:r>
          </w:p>
        </w:tc>
        <w:tc>
          <w:tcPr>
            <w:gridSpan w:val="2"/>
            <w:tcBorders>
              <w:top w:color="000000" w:space="0" w:sz="0" w:val="nil"/>
              <w:bottom w:color="000000" w:space="0" w:sz="0" w:val="nil"/>
            </w:tcBorders>
            <w:vAlign w:val="top"/>
          </w:tcPr>
          <w:p w:rsidR="00000000" w:rsidDel="00000000" w:rsidP="00000000" w:rsidRDefault="00000000" w:rsidRPr="00000000" w14:paraId="00000142">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178.581</w:t>
            </w:r>
          </w:p>
        </w:tc>
        <w:tc>
          <w:tcPr>
            <w:gridSpan w:val="3"/>
            <w:tcBorders>
              <w:top w:color="000000" w:space="0" w:sz="0" w:val="nil"/>
              <w:bottom w:color="000000" w:space="0" w:sz="0" w:val="nil"/>
            </w:tcBorders>
            <w:vAlign w:val="top"/>
          </w:tcPr>
          <w:p w:rsidR="00000000" w:rsidDel="00000000" w:rsidP="00000000" w:rsidRDefault="00000000" w:rsidRPr="00000000" w14:paraId="00000144">
            <w:pPr>
              <w:jc w:val="right"/>
              <w:rPr>
                <w:rFonts w:ascii="Verdana" w:cs="Verdana" w:eastAsia="Verdana" w:hAnsi="Verdana"/>
                <w:sz w:val="17"/>
                <w:szCs w:val="17"/>
                <w:vertAlign w:val="baseline"/>
              </w:rPr>
            </w:pPr>
            <w:r w:rsidDel="00000000" w:rsidR="00000000" w:rsidRPr="00000000">
              <w:rPr>
                <w:rtl w:val="0"/>
              </w:rPr>
            </w:r>
          </w:p>
        </w:tc>
        <w:tc>
          <w:tcPr>
            <w:gridSpan w:val="4"/>
            <w:tcBorders>
              <w:top w:color="000000" w:space="0" w:sz="0" w:val="nil"/>
              <w:bottom w:color="000000" w:space="0" w:sz="0" w:val="nil"/>
            </w:tcBorders>
            <w:vAlign w:val="top"/>
          </w:tcPr>
          <w:p w:rsidR="00000000" w:rsidDel="00000000" w:rsidP="00000000" w:rsidRDefault="00000000" w:rsidRPr="00000000" w14:paraId="00000147">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58.506</w:t>
            </w:r>
          </w:p>
        </w:tc>
      </w:tr>
      <w:tr>
        <w:tc>
          <w:tcPr>
            <w:tcBorders>
              <w:bottom w:color="000000" w:space="0" w:sz="0" w:val="nil"/>
            </w:tcBorders>
            <w:vAlign w:val="top"/>
          </w:tcPr>
          <w:p w:rsidR="00000000" w:rsidDel="00000000" w:rsidP="00000000" w:rsidRDefault="00000000" w:rsidRPr="00000000" w14:paraId="0000014B">
            <w:pPr>
              <w:ind w:left="357"/>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Quebranto para gastos a recuperar</w:t>
            </w:r>
          </w:p>
        </w:tc>
        <w:tc>
          <w:tcPr>
            <w:gridSpan w:val="2"/>
            <w:tcBorders>
              <w:top w:color="000000" w:space="0" w:sz="0" w:val="nil"/>
              <w:bottom w:color="000000" w:space="0" w:sz="0" w:val="nil"/>
            </w:tcBorders>
            <w:vAlign w:val="top"/>
          </w:tcPr>
          <w:p w:rsidR="00000000" w:rsidDel="00000000" w:rsidP="00000000" w:rsidRDefault="00000000" w:rsidRPr="00000000" w14:paraId="0000014C">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16.766</w:t>
            </w:r>
          </w:p>
        </w:tc>
        <w:tc>
          <w:tcPr>
            <w:gridSpan w:val="3"/>
            <w:tcBorders>
              <w:top w:color="000000" w:space="0" w:sz="0" w:val="nil"/>
              <w:bottom w:color="000000" w:space="0" w:sz="0" w:val="nil"/>
            </w:tcBorders>
            <w:vAlign w:val="top"/>
          </w:tcPr>
          <w:p w:rsidR="00000000" w:rsidDel="00000000" w:rsidP="00000000" w:rsidRDefault="00000000" w:rsidRPr="00000000" w14:paraId="0000014E">
            <w:pPr>
              <w:jc w:val="right"/>
              <w:rPr>
                <w:rFonts w:ascii="Verdana" w:cs="Verdana" w:eastAsia="Verdana" w:hAnsi="Verdana"/>
                <w:sz w:val="17"/>
                <w:szCs w:val="17"/>
                <w:vertAlign w:val="baseline"/>
              </w:rPr>
            </w:pPr>
            <w:r w:rsidDel="00000000" w:rsidR="00000000" w:rsidRPr="00000000">
              <w:rPr>
                <w:rtl w:val="0"/>
              </w:rPr>
            </w:r>
          </w:p>
        </w:tc>
        <w:tc>
          <w:tcPr>
            <w:gridSpan w:val="4"/>
            <w:tcBorders>
              <w:top w:color="000000" w:space="0" w:sz="0" w:val="nil"/>
              <w:bottom w:color="000000" w:space="0" w:sz="0" w:val="nil"/>
            </w:tcBorders>
            <w:vAlign w:val="top"/>
          </w:tcPr>
          <w:p w:rsidR="00000000" w:rsidDel="00000000" w:rsidP="00000000" w:rsidRDefault="00000000" w:rsidRPr="00000000" w14:paraId="00000151">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w:t>
            </w:r>
          </w:p>
        </w:tc>
      </w:tr>
      <w:tr>
        <w:tc>
          <w:tcPr>
            <w:tcBorders>
              <w:bottom w:color="000000" w:space="0" w:sz="0" w:val="nil"/>
            </w:tcBorders>
            <w:vAlign w:val="top"/>
          </w:tcPr>
          <w:p w:rsidR="00000000" w:rsidDel="00000000" w:rsidP="00000000" w:rsidRDefault="00000000" w:rsidRPr="00000000" w14:paraId="00000155">
            <w:pPr>
              <w:ind w:left="357"/>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Diversos</w:t>
            </w:r>
          </w:p>
        </w:tc>
        <w:tc>
          <w:tcPr>
            <w:gridSpan w:val="2"/>
            <w:tcBorders>
              <w:top w:color="000000" w:space="0" w:sz="0" w:val="nil"/>
              <w:bottom w:color="000000" w:space="0" w:sz="4" w:val="single"/>
            </w:tcBorders>
            <w:vAlign w:val="top"/>
          </w:tcPr>
          <w:p w:rsidR="00000000" w:rsidDel="00000000" w:rsidP="00000000" w:rsidRDefault="00000000" w:rsidRPr="00000000" w14:paraId="00000156">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337.556</w:t>
            </w:r>
          </w:p>
        </w:tc>
        <w:tc>
          <w:tcPr>
            <w:gridSpan w:val="3"/>
            <w:tcBorders>
              <w:top w:color="000000" w:space="0" w:sz="0" w:val="nil"/>
              <w:bottom w:color="000000" w:space="0" w:sz="0" w:val="nil"/>
            </w:tcBorders>
            <w:vAlign w:val="top"/>
          </w:tcPr>
          <w:p w:rsidR="00000000" w:rsidDel="00000000" w:rsidP="00000000" w:rsidRDefault="00000000" w:rsidRPr="00000000" w14:paraId="00000158">
            <w:pPr>
              <w:jc w:val="right"/>
              <w:rPr>
                <w:rFonts w:ascii="Verdana" w:cs="Verdana" w:eastAsia="Verdana" w:hAnsi="Verdana"/>
                <w:sz w:val="17"/>
                <w:szCs w:val="17"/>
                <w:vertAlign w:val="baseline"/>
              </w:rPr>
            </w:pPr>
            <w:r w:rsidDel="00000000" w:rsidR="00000000" w:rsidRPr="00000000">
              <w:rPr>
                <w:rtl w:val="0"/>
              </w:rPr>
            </w:r>
          </w:p>
        </w:tc>
        <w:tc>
          <w:tcPr>
            <w:gridSpan w:val="4"/>
            <w:tcBorders>
              <w:top w:color="000000" w:space="0" w:sz="0" w:val="nil"/>
              <w:bottom w:color="000000" w:space="0" w:sz="4" w:val="single"/>
            </w:tcBorders>
            <w:vAlign w:val="top"/>
          </w:tcPr>
          <w:p w:rsidR="00000000" w:rsidDel="00000000" w:rsidP="00000000" w:rsidRDefault="00000000" w:rsidRPr="00000000" w14:paraId="0000015B">
            <w:pPr>
              <w:jc w:val="right"/>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165.137</w:t>
            </w:r>
          </w:p>
        </w:tc>
      </w:tr>
      <w:tr>
        <w:tc>
          <w:tcPr>
            <w:tcBorders>
              <w:bottom w:color="000000" w:space="0" w:sz="0" w:val="nil"/>
            </w:tcBorders>
            <w:vAlign w:val="top"/>
          </w:tcPr>
          <w:p w:rsidR="00000000" w:rsidDel="00000000" w:rsidP="00000000" w:rsidRDefault="00000000" w:rsidRPr="00000000" w14:paraId="0000015F">
            <w:pPr>
              <w:ind w:left="284"/>
              <w:jc w:val="center"/>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Total</w:t>
            </w:r>
            <w:r w:rsidDel="00000000" w:rsidR="00000000" w:rsidRPr="00000000">
              <w:rPr>
                <w:rtl w:val="0"/>
              </w:rPr>
            </w:r>
          </w:p>
        </w:tc>
        <w:tc>
          <w:tcPr>
            <w:gridSpan w:val="2"/>
            <w:tcBorders>
              <w:top w:color="000000" w:space="0" w:sz="4" w:val="single"/>
              <w:bottom w:color="000000" w:space="0" w:sz="4" w:val="single"/>
            </w:tcBorders>
            <w:vAlign w:val="top"/>
          </w:tcPr>
          <w:p w:rsidR="00000000" w:rsidDel="00000000" w:rsidP="00000000" w:rsidRDefault="00000000" w:rsidRPr="00000000" w14:paraId="00000160">
            <w:pPr>
              <w:jc w:val="right"/>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1.673.628</w:t>
            </w:r>
            <w:r w:rsidDel="00000000" w:rsidR="00000000" w:rsidRPr="00000000">
              <w:rPr>
                <w:rtl w:val="0"/>
              </w:rPr>
            </w:r>
          </w:p>
        </w:tc>
        <w:tc>
          <w:tcPr>
            <w:gridSpan w:val="3"/>
            <w:tcBorders>
              <w:bottom w:color="000000" w:space="0" w:sz="0" w:val="nil"/>
            </w:tcBorders>
            <w:vAlign w:val="top"/>
          </w:tcPr>
          <w:p w:rsidR="00000000" w:rsidDel="00000000" w:rsidP="00000000" w:rsidRDefault="00000000" w:rsidRPr="00000000" w14:paraId="00000162">
            <w:pPr>
              <w:jc w:val="right"/>
              <w:rPr>
                <w:rFonts w:ascii="Verdana" w:cs="Verdana" w:eastAsia="Verdana" w:hAnsi="Verdana"/>
                <w:b w:val="0"/>
                <w:sz w:val="17"/>
                <w:szCs w:val="17"/>
                <w:vertAlign w:val="baseline"/>
              </w:rPr>
            </w:pPr>
            <w:r w:rsidDel="00000000" w:rsidR="00000000" w:rsidRPr="00000000">
              <w:rPr>
                <w:rtl w:val="0"/>
              </w:rPr>
            </w:r>
          </w:p>
        </w:tc>
        <w:tc>
          <w:tcPr>
            <w:gridSpan w:val="4"/>
            <w:tcBorders>
              <w:top w:color="000000" w:space="0" w:sz="4" w:val="single"/>
              <w:bottom w:color="000000" w:space="0" w:sz="4" w:val="single"/>
            </w:tcBorders>
            <w:vAlign w:val="top"/>
          </w:tcPr>
          <w:p w:rsidR="00000000" w:rsidDel="00000000" w:rsidP="00000000" w:rsidRDefault="00000000" w:rsidRPr="00000000" w14:paraId="00000165">
            <w:pPr>
              <w:jc w:val="right"/>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1.172.552</w:t>
            </w:r>
            <w:r w:rsidDel="00000000" w:rsidR="00000000" w:rsidRPr="00000000">
              <w:rPr>
                <w:rtl w:val="0"/>
              </w:rPr>
            </w:r>
          </w:p>
        </w:tc>
      </w:tr>
    </w:tbl>
    <w:p w:rsidR="00000000" w:rsidDel="00000000" w:rsidP="00000000" w:rsidRDefault="00000000" w:rsidRPr="00000000" w14:paraId="00000169">
      <w:pPr>
        <w:jc w:val="both"/>
        <w:rPr>
          <w:rFonts w:ascii="Verdana" w:cs="Verdana" w:eastAsia="Verdana" w:hAnsi="Verdana"/>
          <w:b w:val="0"/>
          <w:sz w:val="17"/>
          <w:szCs w:val="17"/>
          <w:vertAlign w:val="baseline"/>
        </w:rPr>
      </w:pPr>
      <w:r w:rsidDel="00000000" w:rsidR="00000000" w:rsidRPr="00000000">
        <w:rPr>
          <w:rtl w:val="0"/>
        </w:rPr>
      </w:r>
    </w:p>
    <w:p w:rsidR="00000000" w:rsidDel="00000000" w:rsidP="00000000" w:rsidRDefault="00000000" w:rsidRPr="00000000" w14:paraId="0000016A">
      <w:pPr>
        <w:jc w:val="both"/>
        <w:rPr>
          <w:rFonts w:ascii="Verdana" w:cs="Verdana" w:eastAsia="Verdana" w:hAnsi="Verdana"/>
          <w:b w:val="0"/>
          <w:sz w:val="17"/>
          <w:szCs w:val="17"/>
          <w:vertAlign w:val="baseline"/>
        </w:rPr>
      </w:pPr>
      <w:r w:rsidDel="00000000" w:rsidR="00000000" w:rsidRPr="00000000">
        <w:rPr>
          <w:rtl w:val="0"/>
        </w:rPr>
      </w:r>
    </w:p>
    <w:p w:rsidR="00000000" w:rsidDel="00000000" w:rsidP="00000000" w:rsidRDefault="00000000" w:rsidRPr="00000000" w14:paraId="0000016B">
      <w:pPr>
        <w:tabs>
          <w:tab w:val="left" w:pos="284"/>
        </w:tabs>
        <w:rPr>
          <w:rFonts w:ascii="Verdana" w:cs="Verdana" w:eastAsia="Verdana" w:hAnsi="Verdana"/>
          <w:b w:val="0"/>
          <w:sz w:val="17"/>
          <w:szCs w:val="17"/>
          <w:vertAlign w:val="baseline"/>
        </w:rPr>
      </w:pPr>
      <w:r w:rsidDel="00000000" w:rsidR="00000000" w:rsidRPr="00000000">
        <w:rPr>
          <w:rFonts w:ascii="Verdana" w:cs="Verdana" w:eastAsia="Verdana" w:hAnsi="Verdana"/>
          <w:b w:val="1"/>
          <w:sz w:val="17"/>
          <w:szCs w:val="17"/>
          <w:vertAlign w:val="baseline"/>
          <w:rtl w:val="0"/>
        </w:rPr>
        <w:t xml:space="preserve">4. HECHOS POSTERIORES</w:t>
      </w:r>
      <w:r w:rsidDel="00000000" w:rsidR="00000000" w:rsidRPr="00000000">
        <w:rPr>
          <w:rtl w:val="0"/>
        </w:rPr>
      </w:r>
    </w:p>
    <w:p w:rsidR="00000000" w:rsidDel="00000000" w:rsidP="00000000" w:rsidRDefault="00000000" w:rsidRPr="00000000" w14:paraId="0000016C">
      <w:pPr>
        <w:jc w:val="both"/>
        <w:rPr>
          <w:rFonts w:ascii="Verdana" w:cs="Verdana" w:eastAsia="Verdana" w:hAnsi="Verdana"/>
          <w:b w:val="0"/>
          <w:sz w:val="17"/>
          <w:szCs w:val="17"/>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426"/>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En los últimos años, los niveles de inflación en Argentina han sido altos, con un significativo incremento en el mes de mayo de 2018, los cuales derivaron en una tasa de inflación acumulada en los últimos tres años que supera el 100%, medida de acuerdo con las diferentes combinaciones posibles de índices disponibles. Asimismo, se observa la presencia de ciertos factores cualitativos y circunstancias recientes, tales como la devaluación del peso argentino, que llevan a concluir que, para los ejercicios o períodos que finalicen a partir del 1° de julio de 2018, deberá reanudarse la aplicación del ajuste por inflación en Argentina de los estados contables anuales o intermedios. La preparación de estados contables que reflejen los efectos de la inflación de acuerdo con las normas contables profesionales está sujeta a la derogación del Decreto N° 664/03 del Poder Ejecutivo Nacional, y a la adecuación de las normas y regulaciones de la Inspección General de Justicia.</w:t>
      </w:r>
    </w:p>
    <w:p w:rsidR="00000000" w:rsidDel="00000000" w:rsidP="00000000" w:rsidRDefault="00000000" w:rsidRPr="00000000" w14:paraId="0000016E">
      <w:pPr>
        <w:ind w:left="357"/>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426"/>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El ajuste deberá reanudarse tomando como base la última fecha en que la Entidad ajustó sus estados contables para reflejar los efectos de la inflación, tal como establece la RT N° 6, modificada por la RT N° 39. Para ello, en términos generales, se debe computar en las partidas no monetarias la inflación producida desde la fecha de adquisición o desde la fecha de revaluación, según corresponda. En consecuencia, si en un período inflacionario, los activos monetarios exceden los pasivos monetarios, la entidad perderá poder adquisitivo, y, si los pasivos monetarios exceden los activos monetarios, la entidad ganará poder adquisitivo, siempre que tales partidas no se encuentren sujetas a un mecanismo de ajuste. Asimismo, serán modificadas las cifras correspondientes a los ejercicios o períodos precedentes que se presentan con fines comparativos, sin que este hecho modifique las decisiones tomadas en base a la información contable correspondiente al ejercicio anterior. </w:t>
      </w:r>
    </w:p>
    <w:p w:rsidR="00000000" w:rsidDel="00000000" w:rsidP="00000000" w:rsidRDefault="00000000" w:rsidRPr="00000000" w14:paraId="00000170">
      <w:pPr>
        <w:ind w:left="357"/>
        <w:jc w:val="both"/>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426"/>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A la fecha de emisión de los presentes estados contables, la Dirección de la Entidad se encuentra en proceso de análisis y cálculo de los efectos de la aplicación de la RT N° 6 y sus modificatorias.</w:t>
      </w:r>
    </w:p>
    <w:p w:rsidR="00000000" w:rsidDel="00000000" w:rsidP="00000000" w:rsidRDefault="00000000" w:rsidRPr="00000000" w14:paraId="00000172">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173">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174">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175">
      <w:pPr>
        <w:rPr>
          <w:rFonts w:ascii="Verdana" w:cs="Verdana" w:eastAsia="Verdana" w:hAnsi="Verdana"/>
          <w:sz w:val="17"/>
          <w:szCs w:val="17"/>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0"/>
          <w:strike w:val="0"/>
          <w:color w:val="000000"/>
          <w:sz w:val="17"/>
          <w:szCs w:val="17"/>
          <w:u w:val="none"/>
          <w:shd w:fill="auto" w:val="clear"/>
          <w:vertAlign w:val="baseline"/>
          <w:rtl w:val="0"/>
        </w:rPr>
        <w:t xml:space="preserve">Fernando Pini</w:t>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Presidente</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left" w:pos="4942"/>
        </w:tabs>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ab/>
        <w:tab/>
        <w:tab/>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Nuestro informe de fecha 31 de julio de 2018 se extiende en documento aparte.</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Fonts w:ascii="Verdana" w:cs="Verdana" w:eastAsia="Verdana" w:hAnsi="Verdana"/>
          <w:b w:val="1"/>
          <w:i w:val="0"/>
          <w:smallCaps w:val="0"/>
          <w:strike w:val="0"/>
          <w:color w:val="000000"/>
          <w:sz w:val="17"/>
          <w:szCs w:val="17"/>
          <w:u w:val="none"/>
          <w:shd w:fill="auto" w:val="clear"/>
          <w:vertAlign w:val="baseline"/>
          <w:rtl w:val="0"/>
        </w:rPr>
        <w:t xml:space="preserve">DELOITTE S.C.</w:t>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tbl>
      <w:tblPr>
        <w:tblStyle w:val="Table5"/>
        <w:tblW w:w="4077.0" w:type="dxa"/>
        <w:jc w:val="center"/>
        <w:tblLayout w:type="fixed"/>
        <w:tblLook w:val="0000"/>
      </w:tblPr>
      <w:tblGrid>
        <w:gridCol w:w="4077"/>
        <w:tblGridChange w:id="0">
          <w:tblGrid>
            <w:gridCol w:w="4077"/>
          </w:tblGrid>
        </w:tblGridChange>
      </w:tblGrid>
      <w:tr>
        <w:tc>
          <w:tcPr>
            <w:vAlign w:val="top"/>
          </w:tcPr>
          <w:p w:rsidR="00000000" w:rsidDel="00000000" w:rsidP="00000000" w:rsidRDefault="00000000" w:rsidRPr="00000000" w14:paraId="0000017F">
            <w:pPr>
              <w:jc w:val="center"/>
              <w:rPr>
                <w:rFonts w:ascii="Verdana" w:cs="Verdana" w:eastAsia="Verdana" w:hAnsi="Verdana"/>
                <w:sz w:val="17"/>
                <w:szCs w:val="17"/>
                <w:vertAlign w:val="baseline"/>
              </w:rPr>
            </w:pPr>
            <w:r w:rsidDel="00000000" w:rsidR="00000000" w:rsidRPr="00000000">
              <w:rPr>
                <w:rFonts w:ascii="Verdana" w:cs="Verdana" w:eastAsia="Verdana" w:hAnsi="Verdana"/>
                <w:b w:val="1"/>
                <w:sz w:val="17"/>
                <w:szCs w:val="17"/>
                <w:vertAlign w:val="baseline"/>
                <w:rtl w:val="0"/>
              </w:rPr>
              <w:t xml:space="preserve">CÉSAR FERNANDO DE VIVO (Socio)</w:t>
            </w:r>
            <w:r w:rsidDel="00000000" w:rsidR="00000000" w:rsidRPr="00000000">
              <w:rPr>
                <w:rtl w:val="0"/>
              </w:rPr>
            </w:r>
          </w:p>
          <w:p w:rsidR="00000000" w:rsidDel="00000000" w:rsidP="00000000" w:rsidRDefault="00000000" w:rsidRPr="00000000" w14:paraId="00000180">
            <w:pPr>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Contador Público (U.N.R.)</w:t>
            </w:r>
          </w:p>
          <w:p w:rsidR="00000000" w:rsidDel="00000000" w:rsidP="00000000" w:rsidRDefault="00000000" w:rsidRPr="00000000" w14:paraId="00000181">
            <w:pPr>
              <w:jc w:val="center"/>
              <w:rPr>
                <w:rFonts w:ascii="Verdana" w:cs="Verdana" w:eastAsia="Verdana" w:hAnsi="Verdana"/>
                <w:b w:val="0"/>
                <w:sz w:val="17"/>
                <w:szCs w:val="17"/>
                <w:vertAlign w:val="baseline"/>
              </w:rPr>
            </w:pPr>
            <w:r w:rsidDel="00000000" w:rsidR="00000000" w:rsidRPr="00000000">
              <w:rPr>
                <w:rFonts w:ascii="Verdana" w:cs="Verdana" w:eastAsia="Verdana" w:hAnsi="Verdana"/>
                <w:sz w:val="17"/>
                <w:szCs w:val="17"/>
                <w:vertAlign w:val="baseline"/>
                <w:rtl w:val="0"/>
              </w:rPr>
              <w:t xml:space="preserve">C.P.C.E. Pcia. de Buenos Aires</w:t>
            </w:r>
            <w:r w:rsidDel="00000000" w:rsidR="00000000" w:rsidRPr="00000000">
              <w:rPr>
                <w:rtl w:val="0"/>
              </w:rPr>
            </w:r>
          </w:p>
          <w:p w:rsidR="00000000" w:rsidDel="00000000" w:rsidP="00000000" w:rsidRDefault="00000000" w:rsidRPr="00000000" w14:paraId="00000182">
            <w:pPr>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T° 161 - F° 89 - Legajo N° 41821/8</w:t>
            </w:r>
          </w:p>
          <w:p w:rsidR="00000000" w:rsidDel="00000000" w:rsidP="00000000" w:rsidRDefault="00000000" w:rsidRPr="00000000" w14:paraId="00000183">
            <w:pPr>
              <w:jc w:val="center"/>
              <w:rPr>
                <w:rFonts w:ascii="Verdana" w:cs="Verdana" w:eastAsia="Verdana" w:hAnsi="Verdana"/>
                <w:sz w:val="17"/>
                <w:szCs w:val="17"/>
                <w:vertAlign w:val="baseline"/>
              </w:rPr>
            </w:pPr>
            <w:r w:rsidDel="00000000" w:rsidR="00000000" w:rsidRPr="00000000">
              <w:rPr>
                <w:rFonts w:ascii="Verdana" w:cs="Verdana" w:eastAsia="Verdana" w:hAnsi="Verdana"/>
                <w:sz w:val="17"/>
                <w:szCs w:val="17"/>
                <w:vertAlign w:val="baseline"/>
                <w:rtl w:val="0"/>
              </w:rPr>
              <w:t xml:space="preserve">C.U.I.T. N° 20-18452741-4</w:t>
            </w:r>
          </w:p>
        </w:tc>
      </w:tr>
    </w:tbl>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4"/>
          <w:szCs w:val="4"/>
          <w:u w:val="none"/>
          <w:shd w:fill="auto" w:val="clear"/>
          <w:vertAlign w:val="baseline"/>
        </w:rPr>
      </w:pPr>
      <w:r w:rsidDel="00000000" w:rsidR="00000000" w:rsidRPr="00000000">
        <w:rPr>
          <w:rtl w:val="0"/>
        </w:rPr>
      </w:r>
    </w:p>
    <w:sectPr>
      <w:type w:val="nextPage"/>
      <w:pgSz w:h="16840" w:w="11907"/>
      <w:pgMar w:bottom="567" w:top="1134" w:left="1134" w:right="1134" w:header="720" w:footer="397"/>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01" w:hanging="360.00000000000006"/>
      </w:pPr>
      <w:rPr>
        <w:vertAlign w:val="baseline"/>
      </w:rPr>
    </w:lvl>
    <w:lvl w:ilvl="1">
      <w:start w:val="1"/>
      <w:numFmt w:val="lowerLetter"/>
      <w:lvlText w:val="%2."/>
      <w:lvlJc w:val="left"/>
      <w:pPr>
        <w:ind w:left="1421" w:hanging="360"/>
      </w:pPr>
      <w:rPr>
        <w:vertAlign w:val="baseline"/>
      </w:rPr>
    </w:lvl>
    <w:lvl w:ilvl="2">
      <w:start w:val="1"/>
      <w:numFmt w:val="lowerRoman"/>
      <w:lvlText w:val="%3."/>
      <w:lvlJc w:val="right"/>
      <w:pPr>
        <w:ind w:left="2141" w:hanging="180"/>
      </w:pPr>
      <w:rPr>
        <w:vertAlign w:val="baseline"/>
      </w:rPr>
    </w:lvl>
    <w:lvl w:ilvl="3">
      <w:start w:val="1"/>
      <w:numFmt w:val="decimal"/>
      <w:lvlText w:val="%4."/>
      <w:lvlJc w:val="left"/>
      <w:pPr>
        <w:ind w:left="2861" w:hanging="360"/>
      </w:pPr>
      <w:rPr>
        <w:vertAlign w:val="baseline"/>
      </w:rPr>
    </w:lvl>
    <w:lvl w:ilvl="4">
      <w:start w:val="1"/>
      <w:numFmt w:val="lowerLetter"/>
      <w:lvlText w:val="%5."/>
      <w:lvlJc w:val="left"/>
      <w:pPr>
        <w:ind w:left="3581" w:hanging="360"/>
      </w:pPr>
      <w:rPr>
        <w:vertAlign w:val="baseline"/>
      </w:rPr>
    </w:lvl>
    <w:lvl w:ilvl="5">
      <w:start w:val="1"/>
      <w:numFmt w:val="lowerRoman"/>
      <w:lvlText w:val="%6."/>
      <w:lvlJc w:val="right"/>
      <w:pPr>
        <w:ind w:left="4301" w:hanging="180"/>
      </w:pPr>
      <w:rPr>
        <w:vertAlign w:val="baseline"/>
      </w:rPr>
    </w:lvl>
    <w:lvl w:ilvl="6">
      <w:start w:val="1"/>
      <w:numFmt w:val="decimal"/>
      <w:lvlText w:val="%7."/>
      <w:lvlJc w:val="left"/>
      <w:pPr>
        <w:ind w:left="5021" w:hanging="360"/>
      </w:pPr>
      <w:rPr>
        <w:vertAlign w:val="baseline"/>
      </w:rPr>
    </w:lvl>
    <w:lvl w:ilvl="7">
      <w:start w:val="1"/>
      <w:numFmt w:val="lowerLetter"/>
      <w:lvlText w:val="%8."/>
      <w:lvlJc w:val="left"/>
      <w:pPr>
        <w:ind w:left="5741" w:hanging="360"/>
      </w:pPr>
      <w:rPr>
        <w:vertAlign w:val="baseline"/>
      </w:rPr>
    </w:lvl>
    <w:lvl w:ilvl="8">
      <w:start w:val="1"/>
      <w:numFmt w:val="lowerRoman"/>
      <w:lvlText w:val="%9."/>
      <w:lvlJc w:val="right"/>
      <w:pPr>
        <w:ind w:left="6461" w:hanging="180"/>
      </w:pPr>
      <w:rPr>
        <w:vertAlign w:val="baseline"/>
      </w:rPr>
    </w:lvl>
  </w:abstractNum>
  <w:abstractNum w:abstractNumId="2">
    <w:lvl w:ilvl="0">
      <w:start w:val="1"/>
      <w:numFmt w:val="upperRoman"/>
      <w:lvlText w:val="%1."/>
      <w:lvlJc w:val="left"/>
      <w:pPr>
        <w:ind w:left="1077" w:hanging="720"/>
      </w:pPr>
      <w:rPr>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1.0" w:type="dxa"/>
        <w:bottom w:w="0.0" w:type="dxa"/>
        <w:right w:w="71.0" w:type="dxa"/>
      </w:tblCellMar>
    </w:tblPr>
  </w:style>
  <w:style w:type="table" w:styleId="Table2">
    <w:basedOn w:val="TableNormal"/>
    <w:tblPr>
      <w:tblStyleRowBandSize w:val="1"/>
      <w:tblStyleColBandSize w:val="1"/>
      <w:tblCellMar>
        <w:top w:w="0.0" w:type="dxa"/>
        <w:left w:w="71.0" w:type="dxa"/>
        <w:bottom w:w="0.0" w:type="dxa"/>
        <w:right w:w="71.0" w:type="dxa"/>
      </w:tblCellMar>
    </w:tblPr>
  </w:style>
  <w:style w:type="table" w:styleId="Table3">
    <w:basedOn w:val="TableNormal"/>
    <w:tblPr>
      <w:tblStyleRowBandSize w:val="1"/>
      <w:tblStyleColBandSize w:val="1"/>
      <w:tblCellMar>
        <w:top w:w="0.0" w:type="dxa"/>
        <w:left w:w="71.0" w:type="dxa"/>
        <w:bottom w:w="0.0" w:type="dxa"/>
        <w:right w:w="71.0" w:type="dxa"/>
      </w:tblCellMar>
    </w:tblPr>
  </w:style>
  <w:style w:type="table" w:styleId="Table4">
    <w:basedOn w:val="TableNormal"/>
    <w:tblPr>
      <w:tblStyleRowBandSize w:val="1"/>
      <w:tblStyleColBandSize w:val="1"/>
      <w:tblCellMar>
        <w:top w:w="0.0" w:type="dxa"/>
        <w:left w:w="71.0" w:type="dxa"/>
        <w:bottom w:w="0.0" w:type="dxa"/>
        <w:right w:w="71.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